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55E96" w14:textId="3314B53A" w:rsidR="00392F4B" w:rsidRDefault="00392F4B" w:rsidP="00392F4B">
      <w:pPr>
        <w:spacing w:after="0" w:line="276" w:lineRule="auto"/>
        <w:jc w:val="right"/>
        <w:rPr>
          <w:rFonts w:ascii="Times New Roman" w:hAnsi="Times New Roman" w:cs="Times New Roman"/>
          <w:i/>
          <w:iCs/>
          <w:sz w:val="24"/>
          <w:szCs w:val="24"/>
        </w:rPr>
      </w:pPr>
      <w:r w:rsidRPr="00392F4B">
        <w:rPr>
          <w:rFonts w:ascii="Times New Roman" w:hAnsi="Times New Roman" w:cs="Times New Roman"/>
          <w:i/>
          <w:iCs/>
          <w:sz w:val="24"/>
          <w:szCs w:val="24"/>
        </w:rPr>
        <w:t>Приложение</w:t>
      </w:r>
    </w:p>
    <w:p w14:paraId="3C7946F7" w14:textId="77777777" w:rsidR="00392F4B" w:rsidRPr="00392F4B" w:rsidRDefault="00392F4B" w:rsidP="00392F4B">
      <w:pPr>
        <w:spacing w:after="0" w:line="276" w:lineRule="auto"/>
        <w:jc w:val="right"/>
        <w:rPr>
          <w:rFonts w:ascii="Times New Roman" w:hAnsi="Times New Roman" w:cs="Times New Roman"/>
          <w:i/>
          <w:iCs/>
          <w:sz w:val="24"/>
          <w:szCs w:val="24"/>
        </w:rPr>
      </w:pPr>
    </w:p>
    <w:p w14:paraId="7157A010" w14:textId="03A5B4CA" w:rsidR="00847C91" w:rsidRDefault="00847C91" w:rsidP="00847C91">
      <w:pPr>
        <w:spacing w:after="0" w:line="276" w:lineRule="auto"/>
        <w:jc w:val="center"/>
        <w:rPr>
          <w:rFonts w:ascii="Times New Roman" w:hAnsi="Times New Roman" w:cs="Times New Roman"/>
          <w:b/>
          <w:bCs/>
          <w:sz w:val="28"/>
          <w:szCs w:val="28"/>
        </w:rPr>
      </w:pPr>
      <w:bookmarkStart w:id="0" w:name="_Hlk157528695"/>
      <w:r w:rsidRPr="00847C91">
        <w:rPr>
          <w:rFonts w:ascii="Times New Roman" w:hAnsi="Times New Roman" w:cs="Times New Roman"/>
          <w:b/>
          <w:bCs/>
          <w:sz w:val="28"/>
          <w:szCs w:val="28"/>
        </w:rPr>
        <w:t xml:space="preserve">Доклад Агентства по охране культурного наследия </w:t>
      </w:r>
    </w:p>
    <w:p w14:paraId="13288C15" w14:textId="49A4766E" w:rsidR="00C86FCF" w:rsidRDefault="00847C91" w:rsidP="00847C91">
      <w:pPr>
        <w:spacing w:after="0" w:line="276" w:lineRule="auto"/>
        <w:jc w:val="center"/>
        <w:rPr>
          <w:rFonts w:ascii="Times New Roman" w:hAnsi="Times New Roman" w:cs="Times New Roman"/>
          <w:b/>
          <w:bCs/>
          <w:sz w:val="28"/>
          <w:szCs w:val="28"/>
        </w:rPr>
      </w:pPr>
      <w:r w:rsidRPr="00847C91">
        <w:rPr>
          <w:rFonts w:ascii="Times New Roman" w:hAnsi="Times New Roman" w:cs="Times New Roman"/>
          <w:b/>
          <w:bCs/>
          <w:sz w:val="28"/>
          <w:szCs w:val="28"/>
        </w:rPr>
        <w:t>Республики Дагестан о правоприменительной практике при осуществлении федерального государственного контроля (надзора)</w:t>
      </w:r>
      <w:bookmarkEnd w:id="0"/>
    </w:p>
    <w:p w14:paraId="4560341A" w14:textId="16BB90A1" w:rsidR="00847C91" w:rsidRDefault="00847C91" w:rsidP="00847C91">
      <w:pPr>
        <w:spacing w:after="0" w:line="276" w:lineRule="auto"/>
        <w:jc w:val="both"/>
        <w:rPr>
          <w:rFonts w:ascii="Times New Roman" w:hAnsi="Times New Roman" w:cs="Times New Roman"/>
          <w:sz w:val="28"/>
          <w:szCs w:val="28"/>
        </w:rPr>
      </w:pPr>
    </w:p>
    <w:tbl>
      <w:tblPr>
        <w:tblStyle w:val="a4"/>
        <w:tblW w:w="10490" w:type="dxa"/>
        <w:tblInd w:w="-856" w:type="dxa"/>
        <w:tblLook w:val="04A0" w:firstRow="1" w:lastRow="0" w:firstColumn="1" w:lastColumn="0" w:noHBand="0" w:noVBand="1"/>
      </w:tblPr>
      <w:tblGrid>
        <w:gridCol w:w="10490"/>
      </w:tblGrid>
      <w:tr w:rsidR="00FA3CCC" w:rsidRPr="00FA3CCC" w14:paraId="3E0BC6BF" w14:textId="77777777" w:rsidTr="00DA37B4">
        <w:tc>
          <w:tcPr>
            <w:tcW w:w="10490" w:type="dxa"/>
          </w:tcPr>
          <w:p w14:paraId="50AAA86A" w14:textId="77777777" w:rsidR="00FA3CCC" w:rsidRPr="00FA3CCC" w:rsidRDefault="00FA3CCC" w:rsidP="00335351">
            <w:pPr>
              <w:pStyle w:val="a3"/>
              <w:numPr>
                <w:ilvl w:val="0"/>
                <w:numId w:val="1"/>
              </w:numPr>
              <w:spacing w:line="276" w:lineRule="auto"/>
              <w:jc w:val="both"/>
              <w:rPr>
                <w:rFonts w:ascii="Times New Roman" w:hAnsi="Times New Roman" w:cs="Times New Roman"/>
                <w:b/>
                <w:bCs/>
                <w:sz w:val="28"/>
                <w:szCs w:val="28"/>
              </w:rPr>
            </w:pPr>
            <w:r w:rsidRPr="00FA3CCC">
              <w:rPr>
                <w:rFonts w:ascii="Times New Roman" w:hAnsi="Times New Roman" w:cs="Times New Roman"/>
                <w:b/>
                <w:bCs/>
                <w:sz w:val="28"/>
                <w:szCs w:val="28"/>
              </w:rPr>
              <w:t>Типичные нарушения обязательных требований, причин, факторов и условий, способствующих возникновению указанных нарушений</w:t>
            </w:r>
          </w:p>
        </w:tc>
      </w:tr>
      <w:tr w:rsidR="00FA3CCC" w:rsidRPr="00FA3CCC" w14:paraId="413BA841" w14:textId="77777777" w:rsidTr="00DA37B4">
        <w:tc>
          <w:tcPr>
            <w:tcW w:w="10490" w:type="dxa"/>
          </w:tcPr>
          <w:p w14:paraId="64D457DD" w14:textId="77777777" w:rsidR="00FA3CCC" w:rsidRPr="00FA3CCC" w:rsidRDefault="00FA3CCC" w:rsidP="00335351">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1.1. Типичными нарушениями обязательных требований, совершаемыми контролируемыми лицами, являются нарушения, связанные с необеспечением сохранности объектов культурного наследия, с неисполнением обязанностей по надлежащему содержанию объектов культурного наследия, а также нарушение требований к осуществлению деятельности в границах территорий объектов культурного наследия (статьи 47.2 и 47.3 Федерального закона № 73-ФЗ).</w:t>
            </w:r>
          </w:p>
        </w:tc>
      </w:tr>
      <w:tr w:rsidR="00FA3CCC" w:rsidRPr="00FA3CCC" w14:paraId="67AA562A" w14:textId="77777777" w:rsidTr="00DA37B4">
        <w:tc>
          <w:tcPr>
            <w:tcW w:w="10490" w:type="dxa"/>
          </w:tcPr>
          <w:p w14:paraId="28B29FD4" w14:textId="77777777" w:rsidR="00FA3CCC" w:rsidRPr="00FA3CCC" w:rsidRDefault="00FA3CCC" w:rsidP="00335351">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 xml:space="preserve">В частности, выявлены следующие нарушения обязательных требований: </w:t>
            </w:r>
          </w:p>
        </w:tc>
      </w:tr>
      <w:tr w:rsidR="00FA3CCC" w:rsidRPr="00FA3CCC" w14:paraId="1B5689E2" w14:textId="77777777" w:rsidTr="00DA37B4">
        <w:tc>
          <w:tcPr>
            <w:tcW w:w="10490" w:type="dxa"/>
          </w:tcPr>
          <w:p w14:paraId="0CB87469" w14:textId="06416E98" w:rsidR="00FA3CCC" w:rsidRPr="00FA3CCC" w:rsidRDefault="00FA3CCC" w:rsidP="00335351">
            <w:pPr>
              <w:spacing w:line="276" w:lineRule="auto"/>
              <w:jc w:val="both"/>
              <w:rPr>
                <w:rFonts w:ascii="Times New Roman" w:hAnsi="Times New Roman" w:cs="Times New Roman"/>
                <w:sz w:val="28"/>
                <w:szCs w:val="28"/>
              </w:rPr>
            </w:pPr>
            <w:bookmarkStart w:id="1" w:name="_Hlk157079155"/>
            <w:r w:rsidRPr="00FA3CCC">
              <w:rPr>
                <w:rFonts w:ascii="Times New Roman" w:hAnsi="Times New Roman" w:cs="Times New Roman"/>
                <w:sz w:val="28"/>
                <w:szCs w:val="28"/>
              </w:rPr>
              <w:t>проведение земляных работ на объекте археологического наследия без полученного в установленном порядке разрешения (открытого листа)</w:t>
            </w:r>
            <w:bookmarkEnd w:id="1"/>
            <w:r w:rsidRPr="00FA3CCC">
              <w:rPr>
                <w:rFonts w:ascii="Times New Roman" w:hAnsi="Times New Roman" w:cs="Times New Roman"/>
                <w:sz w:val="28"/>
                <w:szCs w:val="28"/>
              </w:rPr>
              <w:t xml:space="preserve"> (статья 45.1 Федерального закона № 73-ФЗ, статья</w:t>
            </w:r>
            <w:r w:rsidRPr="00FA3CCC">
              <w:t xml:space="preserve"> </w:t>
            </w:r>
            <w:r w:rsidRPr="00FA3CCC">
              <w:rPr>
                <w:rFonts w:ascii="Times New Roman" w:hAnsi="Times New Roman" w:cs="Times New Roman"/>
                <w:sz w:val="28"/>
                <w:szCs w:val="28"/>
              </w:rPr>
              <w:t xml:space="preserve">7.15 КоАП РФ); </w:t>
            </w:r>
          </w:p>
        </w:tc>
      </w:tr>
      <w:tr w:rsidR="00FA3CCC" w:rsidRPr="00FA3CCC" w14:paraId="76AA11ED" w14:textId="77777777" w:rsidTr="003753AE">
        <w:trPr>
          <w:trHeight w:val="1461"/>
        </w:trPr>
        <w:tc>
          <w:tcPr>
            <w:tcW w:w="10490" w:type="dxa"/>
          </w:tcPr>
          <w:p w14:paraId="61F45D3F" w14:textId="6EAB433A" w:rsidR="00DA37B4" w:rsidRPr="00FA3CCC" w:rsidRDefault="000A5F2B" w:rsidP="00335351">
            <w:pPr>
              <w:spacing w:line="276" w:lineRule="auto"/>
              <w:jc w:val="both"/>
              <w:rPr>
                <w:rFonts w:ascii="Times New Roman" w:hAnsi="Times New Roman" w:cs="Times New Roman"/>
                <w:sz w:val="28"/>
                <w:szCs w:val="28"/>
              </w:rPr>
            </w:pPr>
            <w:r w:rsidRPr="000A5F2B">
              <w:rPr>
                <w:rFonts w:ascii="Times New Roman" w:hAnsi="Times New Roman" w:cs="Times New Roman"/>
                <w:sz w:val="28"/>
                <w:szCs w:val="28"/>
              </w:rPr>
              <w:t>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r w:rsidR="00FA3CCC" w:rsidRPr="00FA3CCC">
              <w:rPr>
                <w:rFonts w:ascii="Times New Roman" w:hAnsi="Times New Roman" w:cs="Times New Roman"/>
                <w:sz w:val="28"/>
                <w:szCs w:val="28"/>
              </w:rPr>
              <w:t xml:space="preserve"> (</w:t>
            </w:r>
            <w:r w:rsidRPr="000A5F2B">
              <w:rPr>
                <w:rFonts w:ascii="Times New Roman" w:hAnsi="Times New Roman" w:cs="Times New Roman"/>
                <w:sz w:val="28"/>
                <w:szCs w:val="28"/>
              </w:rPr>
              <w:t>статья 7.1</w:t>
            </w:r>
            <w:r>
              <w:rPr>
                <w:rFonts w:ascii="Times New Roman" w:hAnsi="Times New Roman" w:cs="Times New Roman"/>
                <w:sz w:val="28"/>
                <w:szCs w:val="28"/>
              </w:rPr>
              <w:t>4</w:t>
            </w:r>
            <w:r w:rsidRPr="000A5F2B">
              <w:rPr>
                <w:rFonts w:ascii="Times New Roman" w:hAnsi="Times New Roman" w:cs="Times New Roman"/>
                <w:sz w:val="28"/>
                <w:szCs w:val="28"/>
              </w:rPr>
              <w:t xml:space="preserve"> КоАП РФ</w:t>
            </w:r>
            <w:r w:rsidR="00FA3CCC" w:rsidRPr="00FA3CCC">
              <w:rPr>
                <w:rFonts w:ascii="Times New Roman" w:hAnsi="Times New Roman" w:cs="Times New Roman"/>
                <w:sz w:val="28"/>
                <w:szCs w:val="28"/>
              </w:rPr>
              <w:t>)</w:t>
            </w:r>
            <w:r w:rsidR="00DA37B4">
              <w:rPr>
                <w:rFonts w:ascii="Times New Roman" w:hAnsi="Times New Roman" w:cs="Times New Roman"/>
                <w:sz w:val="28"/>
                <w:szCs w:val="28"/>
              </w:rPr>
              <w:t>;</w:t>
            </w:r>
          </w:p>
        </w:tc>
      </w:tr>
      <w:tr w:rsidR="00DA37B4" w:rsidRPr="00FA3CCC" w14:paraId="35CE116C" w14:textId="77777777" w:rsidTr="00DA37B4">
        <w:trPr>
          <w:trHeight w:val="1146"/>
        </w:trPr>
        <w:tc>
          <w:tcPr>
            <w:tcW w:w="10490" w:type="dxa"/>
          </w:tcPr>
          <w:p w14:paraId="465E96DA" w14:textId="08B97293" w:rsidR="00DA37B4" w:rsidRPr="000A5F2B" w:rsidRDefault="00DA37B4" w:rsidP="00335351">
            <w:pPr>
              <w:spacing w:line="276" w:lineRule="auto"/>
              <w:jc w:val="both"/>
              <w:rPr>
                <w:rFonts w:ascii="Times New Roman" w:hAnsi="Times New Roman" w:cs="Times New Roman"/>
                <w:sz w:val="28"/>
                <w:szCs w:val="28"/>
              </w:rPr>
            </w:pPr>
            <w:r w:rsidRPr="00DA37B4">
              <w:rPr>
                <w:rFonts w:ascii="Times New Roman" w:hAnsi="Times New Roman" w:cs="Times New Roman"/>
                <w:sz w:val="28"/>
                <w:szCs w:val="28"/>
              </w:rPr>
              <w:t>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w:t>
            </w:r>
            <w:r>
              <w:rPr>
                <w:rFonts w:ascii="Times New Roman" w:hAnsi="Times New Roman" w:cs="Times New Roman"/>
                <w:sz w:val="28"/>
                <w:szCs w:val="28"/>
              </w:rPr>
              <w:t xml:space="preserve"> </w:t>
            </w:r>
            <w:r w:rsidRPr="00DA37B4">
              <w:rPr>
                <w:rFonts w:ascii="Times New Roman" w:hAnsi="Times New Roman" w:cs="Times New Roman"/>
                <w:sz w:val="28"/>
                <w:szCs w:val="28"/>
              </w:rPr>
              <w:t>(статья 7.1</w:t>
            </w:r>
            <w:r>
              <w:rPr>
                <w:rFonts w:ascii="Times New Roman" w:hAnsi="Times New Roman" w:cs="Times New Roman"/>
                <w:sz w:val="28"/>
                <w:szCs w:val="28"/>
              </w:rPr>
              <w:t>3</w:t>
            </w:r>
            <w:r w:rsidRPr="00DA37B4">
              <w:rPr>
                <w:rFonts w:ascii="Times New Roman" w:hAnsi="Times New Roman" w:cs="Times New Roman"/>
                <w:sz w:val="28"/>
                <w:szCs w:val="28"/>
              </w:rPr>
              <w:t xml:space="preserve"> КоАП РФ)</w:t>
            </w:r>
            <w:r>
              <w:rPr>
                <w:rFonts w:ascii="Times New Roman" w:hAnsi="Times New Roman" w:cs="Times New Roman"/>
                <w:sz w:val="28"/>
                <w:szCs w:val="28"/>
              </w:rPr>
              <w:t>.</w:t>
            </w:r>
          </w:p>
        </w:tc>
      </w:tr>
      <w:tr w:rsidR="00FA3CCC" w:rsidRPr="00FA3CCC" w14:paraId="70D9C258" w14:textId="77777777" w:rsidTr="00DA37B4">
        <w:tc>
          <w:tcPr>
            <w:tcW w:w="10490" w:type="dxa"/>
          </w:tcPr>
          <w:p w14:paraId="3215292F" w14:textId="0AAF7E1B" w:rsidR="00FA3CCC" w:rsidRPr="00FA3CCC" w:rsidRDefault="00FA3CCC" w:rsidP="00335351">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 xml:space="preserve">Выявлено, что </w:t>
            </w:r>
            <w:r w:rsidR="00516C69">
              <w:rPr>
                <w:rFonts w:ascii="Times New Roman" w:hAnsi="Times New Roman" w:cs="Times New Roman"/>
                <w:sz w:val="28"/>
                <w:szCs w:val="28"/>
              </w:rPr>
              <w:t>основными</w:t>
            </w:r>
            <w:r w:rsidRPr="00FA3CCC">
              <w:rPr>
                <w:rFonts w:ascii="Times New Roman" w:hAnsi="Times New Roman" w:cs="Times New Roman"/>
                <w:sz w:val="28"/>
                <w:szCs w:val="28"/>
              </w:rPr>
              <w:t xml:space="preserve"> причинами (условиями) нарушения обязательных требований являются:</w:t>
            </w:r>
          </w:p>
        </w:tc>
      </w:tr>
      <w:tr w:rsidR="00FA3CCC" w:rsidRPr="00FA3CCC" w14:paraId="70B410B7" w14:textId="77777777" w:rsidTr="00DA37B4">
        <w:tc>
          <w:tcPr>
            <w:tcW w:w="10490" w:type="dxa"/>
          </w:tcPr>
          <w:p w14:paraId="6D0194BD" w14:textId="77777777" w:rsidR="00FA3CCC" w:rsidRPr="00FA3CCC" w:rsidRDefault="00FA3CCC" w:rsidP="00335351">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отсутствие у контролируемых лиц понимания прямой связи несоблюдения обязательных требований с риском причинения ущерба охраняемым законом ценностям, риском наступления ответственности;</w:t>
            </w:r>
          </w:p>
        </w:tc>
      </w:tr>
      <w:tr w:rsidR="00FA3CCC" w:rsidRPr="00FA3CCC" w14:paraId="55739E4E" w14:textId="77777777" w:rsidTr="006654B3">
        <w:trPr>
          <w:trHeight w:val="1080"/>
        </w:trPr>
        <w:tc>
          <w:tcPr>
            <w:tcW w:w="10490" w:type="dxa"/>
          </w:tcPr>
          <w:p w14:paraId="46F238A3" w14:textId="5AB93531" w:rsidR="00C00BCC" w:rsidRPr="00FA3CCC" w:rsidRDefault="00516C69" w:rsidP="00335351">
            <w:pPr>
              <w:spacing w:line="276" w:lineRule="auto"/>
              <w:jc w:val="both"/>
              <w:rPr>
                <w:rFonts w:ascii="Times New Roman" w:hAnsi="Times New Roman" w:cs="Times New Roman"/>
                <w:sz w:val="28"/>
                <w:szCs w:val="28"/>
              </w:rPr>
            </w:pPr>
            <w:r w:rsidRPr="00516C69">
              <w:rPr>
                <w:rFonts w:ascii="Times New Roman" w:hAnsi="Times New Roman" w:cs="Times New Roman"/>
                <w:sz w:val="28"/>
                <w:szCs w:val="28"/>
              </w:rPr>
              <w:t>ненадлежащ</w:t>
            </w:r>
            <w:r>
              <w:rPr>
                <w:rFonts w:ascii="Times New Roman" w:hAnsi="Times New Roman" w:cs="Times New Roman"/>
                <w:sz w:val="28"/>
                <w:szCs w:val="28"/>
              </w:rPr>
              <w:t>ее</w:t>
            </w:r>
            <w:r w:rsidR="00FA3CCC" w:rsidRPr="00FA3CCC">
              <w:rPr>
                <w:rFonts w:ascii="Times New Roman" w:hAnsi="Times New Roman" w:cs="Times New Roman"/>
                <w:sz w:val="28"/>
                <w:szCs w:val="28"/>
              </w:rPr>
              <w:t xml:space="preserve"> отношение контролируемых лиц к соблюдению обязательных требований, в частности, собственников и иных законных владельцев объектов культурного наследия</w:t>
            </w:r>
            <w:r w:rsidR="000A5F2B">
              <w:rPr>
                <w:rFonts w:ascii="Times New Roman" w:hAnsi="Times New Roman" w:cs="Times New Roman"/>
                <w:sz w:val="28"/>
                <w:szCs w:val="28"/>
              </w:rPr>
              <w:t>.</w:t>
            </w:r>
          </w:p>
        </w:tc>
      </w:tr>
      <w:tr w:rsidR="006654B3" w:rsidRPr="00FA3CCC" w14:paraId="53D05BB6" w14:textId="77777777" w:rsidTr="00DA37B4">
        <w:trPr>
          <w:trHeight w:val="1875"/>
        </w:trPr>
        <w:tc>
          <w:tcPr>
            <w:tcW w:w="10490" w:type="dxa"/>
          </w:tcPr>
          <w:p w14:paraId="4C938E8B" w14:textId="5666C070" w:rsidR="006654B3" w:rsidRPr="00516C69" w:rsidRDefault="006654B3" w:rsidP="00335351">
            <w:pPr>
              <w:spacing w:line="276" w:lineRule="auto"/>
              <w:jc w:val="both"/>
              <w:rPr>
                <w:rFonts w:ascii="Times New Roman" w:hAnsi="Times New Roman" w:cs="Times New Roman"/>
                <w:sz w:val="28"/>
                <w:szCs w:val="28"/>
              </w:rPr>
            </w:pPr>
            <w:r>
              <w:rPr>
                <w:rFonts w:ascii="Times New Roman" w:hAnsi="Times New Roman" w:cs="Times New Roman"/>
                <w:sz w:val="28"/>
                <w:szCs w:val="28"/>
              </w:rPr>
              <w:t>наличие</w:t>
            </w:r>
            <w:r w:rsidRPr="00C00BCC">
              <w:rPr>
                <w:rFonts w:ascii="Times New Roman" w:hAnsi="Times New Roman" w:cs="Times New Roman"/>
                <w:sz w:val="28"/>
                <w:szCs w:val="28"/>
              </w:rPr>
              <w:t xml:space="preserve"> ограничени</w:t>
            </w:r>
            <w:r>
              <w:rPr>
                <w:rFonts w:ascii="Times New Roman" w:hAnsi="Times New Roman" w:cs="Times New Roman"/>
                <w:sz w:val="28"/>
                <w:szCs w:val="28"/>
              </w:rPr>
              <w:t>й</w:t>
            </w:r>
            <w:r w:rsidRPr="00C00BCC">
              <w:rPr>
                <w:rFonts w:ascii="Times New Roman" w:hAnsi="Times New Roman" w:cs="Times New Roman"/>
                <w:sz w:val="28"/>
                <w:szCs w:val="28"/>
              </w:rPr>
              <w:t xml:space="preserve"> при осуществлении видов государственного контроля (надзора), введенны</w:t>
            </w:r>
            <w:r w:rsidR="003917AB">
              <w:rPr>
                <w:rFonts w:ascii="Times New Roman" w:hAnsi="Times New Roman" w:cs="Times New Roman"/>
                <w:sz w:val="28"/>
                <w:szCs w:val="28"/>
              </w:rPr>
              <w:t>х</w:t>
            </w:r>
            <w:r w:rsidRPr="00C00BCC">
              <w:rPr>
                <w:rFonts w:ascii="Times New Roman" w:hAnsi="Times New Roman" w:cs="Times New Roman"/>
                <w:sz w:val="28"/>
                <w:szCs w:val="28"/>
              </w:rPr>
              <w:t xml:space="preserve">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w:t>
            </w:r>
            <w:r w:rsidR="003917AB">
              <w:rPr>
                <w:rFonts w:ascii="Times New Roman" w:hAnsi="Times New Roman" w:cs="Times New Roman"/>
                <w:sz w:val="28"/>
                <w:szCs w:val="28"/>
              </w:rPr>
              <w:t xml:space="preserve"> в некоторых случаях</w:t>
            </w:r>
            <w:r w:rsidRPr="00C00BCC">
              <w:rPr>
                <w:rFonts w:ascii="Times New Roman" w:hAnsi="Times New Roman" w:cs="Times New Roman"/>
                <w:sz w:val="28"/>
                <w:szCs w:val="28"/>
              </w:rPr>
              <w:t xml:space="preserve"> </w:t>
            </w:r>
            <w:r>
              <w:rPr>
                <w:rFonts w:ascii="Times New Roman" w:hAnsi="Times New Roman" w:cs="Times New Roman"/>
                <w:sz w:val="28"/>
                <w:szCs w:val="28"/>
              </w:rPr>
              <w:t>приводит к осознанному нарушению обязательных требований особенно со</w:t>
            </w:r>
            <w:bookmarkStart w:id="2" w:name="_GoBack"/>
            <w:bookmarkEnd w:id="2"/>
            <w:r>
              <w:rPr>
                <w:rFonts w:ascii="Times New Roman" w:hAnsi="Times New Roman" w:cs="Times New Roman"/>
                <w:sz w:val="28"/>
                <w:szCs w:val="28"/>
              </w:rPr>
              <w:t xml:space="preserve"> стороны физических лиц.</w:t>
            </w:r>
          </w:p>
        </w:tc>
      </w:tr>
      <w:tr w:rsidR="00FA3CCC" w:rsidRPr="00FA3CCC" w14:paraId="6CBBA1F5" w14:textId="77777777" w:rsidTr="00DA37B4">
        <w:trPr>
          <w:trHeight w:val="269"/>
        </w:trPr>
        <w:tc>
          <w:tcPr>
            <w:tcW w:w="10490" w:type="dxa"/>
          </w:tcPr>
          <w:p w14:paraId="4F8CEF0D" w14:textId="77777777" w:rsidR="00FA3CCC" w:rsidRPr="00FA3CCC" w:rsidRDefault="00FA3CCC" w:rsidP="00335351">
            <w:pPr>
              <w:spacing w:line="276" w:lineRule="auto"/>
              <w:jc w:val="both"/>
              <w:rPr>
                <w:rFonts w:ascii="Times New Roman" w:hAnsi="Times New Roman" w:cs="Times New Roman"/>
                <w:sz w:val="28"/>
                <w:szCs w:val="28"/>
              </w:rPr>
            </w:pPr>
          </w:p>
        </w:tc>
      </w:tr>
      <w:tr w:rsidR="00FA3CCC" w:rsidRPr="00FA3CCC" w14:paraId="5F2F6196" w14:textId="77777777" w:rsidTr="00DA37B4">
        <w:tc>
          <w:tcPr>
            <w:tcW w:w="10490" w:type="dxa"/>
          </w:tcPr>
          <w:p w14:paraId="754124D8" w14:textId="77777777" w:rsidR="00FA3CCC" w:rsidRPr="00FA3CCC" w:rsidRDefault="00FA3CCC" w:rsidP="00335351">
            <w:pPr>
              <w:pStyle w:val="a3"/>
              <w:numPr>
                <w:ilvl w:val="0"/>
                <w:numId w:val="1"/>
              </w:numPr>
              <w:spacing w:line="276" w:lineRule="auto"/>
              <w:jc w:val="both"/>
              <w:rPr>
                <w:rFonts w:ascii="Times New Roman" w:hAnsi="Times New Roman" w:cs="Times New Roman"/>
                <w:b/>
                <w:bCs/>
                <w:sz w:val="28"/>
                <w:szCs w:val="28"/>
              </w:rPr>
            </w:pPr>
            <w:r w:rsidRPr="00FA3CCC">
              <w:rPr>
                <w:rFonts w:ascii="Times New Roman" w:hAnsi="Times New Roman" w:cs="Times New Roman"/>
                <w:b/>
                <w:bCs/>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tc>
      </w:tr>
      <w:tr w:rsidR="00FA3CCC" w:rsidRPr="00FA3CCC" w14:paraId="4D5F22B8" w14:textId="77777777" w:rsidTr="00DA37B4">
        <w:tc>
          <w:tcPr>
            <w:tcW w:w="10490" w:type="dxa"/>
          </w:tcPr>
          <w:p w14:paraId="1829B0A9" w14:textId="7818E503" w:rsidR="002C31E9" w:rsidRDefault="00FA3CCC" w:rsidP="00DA37B4">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 xml:space="preserve">2.1. </w:t>
            </w:r>
            <w:r w:rsidR="006654B3">
              <w:rPr>
                <w:rFonts w:ascii="Times New Roman" w:hAnsi="Times New Roman" w:cs="Times New Roman"/>
                <w:sz w:val="28"/>
                <w:szCs w:val="28"/>
              </w:rPr>
              <w:t>За</w:t>
            </w:r>
            <w:r w:rsidR="00DA37B4">
              <w:rPr>
                <w:rFonts w:ascii="Times New Roman" w:hAnsi="Times New Roman" w:cs="Times New Roman"/>
                <w:sz w:val="28"/>
                <w:szCs w:val="28"/>
              </w:rPr>
              <w:t xml:space="preserve"> 2023 г.</w:t>
            </w:r>
            <w:r w:rsidR="00DA37B4" w:rsidRPr="00DA37B4">
              <w:rPr>
                <w:rFonts w:ascii="Times New Roman" w:hAnsi="Times New Roman" w:cs="Times New Roman"/>
                <w:sz w:val="28"/>
                <w:szCs w:val="28"/>
              </w:rPr>
              <w:t xml:space="preserve"> в рамках проведен</w:t>
            </w:r>
            <w:r w:rsidR="006654B3">
              <w:rPr>
                <w:rFonts w:ascii="Times New Roman" w:hAnsi="Times New Roman" w:cs="Times New Roman"/>
                <w:sz w:val="28"/>
                <w:szCs w:val="28"/>
              </w:rPr>
              <w:t>ы</w:t>
            </w:r>
            <w:r w:rsidR="00DA37B4" w:rsidRPr="00DA37B4">
              <w:rPr>
                <w:rFonts w:ascii="Times New Roman" w:hAnsi="Times New Roman" w:cs="Times New Roman"/>
                <w:sz w:val="28"/>
                <w:szCs w:val="28"/>
              </w:rPr>
              <w:t xml:space="preserve"> </w:t>
            </w:r>
            <w:r w:rsidR="006654B3" w:rsidRPr="006654B3">
              <w:rPr>
                <w:rFonts w:ascii="Times New Roman" w:hAnsi="Times New Roman" w:cs="Times New Roman"/>
                <w:sz w:val="28"/>
                <w:szCs w:val="28"/>
              </w:rPr>
              <w:t>36</w:t>
            </w:r>
            <w:r w:rsidR="006654B3">
              <w:rPr>
                <w:rFonts w:ascii="Times New Roman" w:hAnsi="Times New Roman" w:cs="Times New Roman"/>
                <w:sz w:val="28"/>
                <w:szCs w:val="28"/>
              </w:rPr>
              <w:t xml:space="preserve"> </w:t>
            </w:r>
            <w:r w:rsidR="00DA37B4" w:rsidRPr="00DA37B4">
              <w:rPr>
                <w:rFonts w:ascii="Times New Roman" w:hAnsi="Times New Roman" w:cs="Times New Roman"/>
                <w:sz w:val="28"/>
                <w:szCs w:val="28"/>
              </w:rPr>
              <w:t>мероприятий по контролю без взаимодействия в отношении</w:t>
            </w:r>
            <w:r w:rsidR="00BE4F43" w:rsidRPr="00BE4F43">
              <w:rPr>
                <w:rFonts w:ascii="Times New Roman" w:hAnsi="Times New Roman" w:cs="Times New Roman"/>
                <w:sz w:val="28"/>
                <w:szCs w:val="28"/>
              </w:rPr>
              <w:t xml:space="preserve"> ОКН федерального значения</w:t>
            </w:r>
            <w:r w:rsidR="002C31E9">
              <w:rPr>
                <w:rFonts w:ascii="Times New Roman" w:hAnsi="Times New Roman" w:cs="Times New Roman"/>
                <w:sz w:val="28"/>
                <w:szCs w:val="28"/>
              </w:rPr>
              <w:t xml:space="preserve">. </w:t>
            </w:r>
          </w:p>
          <w:p w14:paraId="59A76B31" w14:textId="57E00627" w:rsidR="00560A27" w:rsidRDefault="00BE4F43" w:rsidP="00BE4F43">
            <w:pPr>
              <w:spacing w:line="276" w:lineRule="auto"/>
              <w:jc w:val="both"/>
              <w:rPr>
                <w:rFonts w:ascii="Times New Roman" w:hAnsi="Times New Roman" w:cs="Times New Roman"/>
                <w:sz w:val="28"/>
                <w:szCs w:val="28"/>
              </w:rPr>
            </w:pPr>
            <w:r w:rsidRPr="00BE4F43">
              <w:rPr>
                <w:rFonts w:ascii="Times New Roman" w:hAnsi="Times New Roman" w:cs="Times New Roman"/>
                <w:sz w:val="28"/>
                <w:szCs w:val="28"/>
              </w:rPr>
              <w:t xml:space="preserve">По результатам </w:t>
            </w:r>
            <w:r w:rsidR="002C31E9">
              <w:rPr>
                <w:rFonts w:ascii="Times New Roman" w:hAnsi="Times New Roman" w:cs="Times New Roman"/>
                <w:sz w:val="28"/>
                <w:szCs w:val="28"/>
              </w:rPr>
              <w:t>которых</w:t>
            </w:r>
            <w:r w:rsidRPr="00BE4F43">
              <w:rPr>
                <w:rFonts w:ascii="Times New Roman" w:hAnsi="Times New Roman" w:cs="Times New Roman"/>
                <w:sz w:val="28"/>
                <w:szCs w:val="28"/>
              </w:rPr>
              <w:t xml:space="preserve"> за 2023 г. направлены в </w:t>
            </w:r>
            <w:r w:rsidR="002C31E9">
              <w:rPr>
                <w:rFonts w:ascii="Times New Roman" w:hAnsi="Times New Roman" w:cs="Times New Roman"/>
                <w:sz w:val="28"/>
                <w:szCs w:val="28"/>
              </w:rPr>
              <w:t>правоохранительные органы</w:t>
            </w:r>
            <w:r w:rsidRPr="00BE4F43">
              <w:rPr>
                <w:rFonts w:ascii="Times New Roman" w:hAnsi="Times New Roman" w:cs="Times New Roman"/>
                <w:sz w:val="28"/>
                <w:szCs w:val="28"/>
              </w:rPr>
              <w:t xml:space="preserve"> материалы по 2</w:t>
            </w:r>
            <w:r w:rsidR="002C31E9">
              <w:rPr>
                <w:rFonts w:ascii="Times New Roman" w:hAnsi="Times New Roman" w:cs="Times New Roman"/>
                <w:sz w:val="28"/>
                <w:szCs w:val="28"/>
              </w:rPr>
              <w:t>0</w:t>
            </w:r>
            <w:r w:rsidRPr="00BE4F43">
              <w:rPr>
                <w:rFonts w:ascii="Times New Roman" w:hAnsi="Times New Roman" w:cs="Times New Roman"/>
                <w:sz w:val="28"/>
                <w:szCs w:val="28"/>
              </w:rPr>
              <w:t xml:space="preserve"> правонарушениям</w:t>
            </w:r>
            <w:r w:rsidR="002C31E9">
              <w:rPr>
                <w:rFonts w:ascii="Times New Roman" w:hAnsi="Times New Roman" w:cs="Times New Roman"/>
                <w:sz w:val="28"/>
                <w:szCs w:val="28"/>
              </w:rPr>
              <w:t xml:space="preserve"> для принятия мер реагирования.</w:t>
            </w:r>
            <w:r>
              <w:rPr>
                <w:rFonts w:ascii="Times New Roman" w:hAnsi="Times New Roman" w:cs="Times New Roman"/>
                <w:sz w:val="28"/>
                <w:szCs w:val="28"/>
              </w:rPr>
              <w:t xml:space="preserve"> </w:t>
            </w:r>
          </w:p>
          <w:p w14:paraId="37BF9FB8" w14:textId="4ACD3957" w:rsidR="00DA37B4" w:rsidRPr="00FA3CCC" w:rsidRDefault="00BE4F43" w:rsidP="00BE4F43">
            <w:pPr>
              <w:spacing w:line="276" w:lineRule="auto"/>
              <w:jc w:val="both"/>
              <w:rPr>
                <w:rFonts w:ascii="Times New Roman" w:hAnsi="Times New Roman" w:cs="Times New Roman"/>
                <w:sz w:val="28"/>
                <w:szCs w:val="28"/>
              </w:rPr>
            </w:pPr>
            <w:r w:rsidRPr="00BE4F43">
              <w:rPr>
                <w:rFonts w:ascii="Times New Roman" w:hAnsi="Times New Roman" w:cs="Times New Roman"/>
                <w:sz w:val="28"/>
                <w:szCs w:val="28"/>
              </w:rPr>
              <w:t>Наложено 3 административных штрафа на общую сумму 45 тыс. руб.</w:t>
            </w:r>
          </w:p>
        </w:tc>
      </w:tr>
      <w:tr w:rsidR="00FA3CCC" w:rsidRPr="00FA3CCC" w14:paraId="54C0A131" w14:textId="77777777" w:rsidTr="00DA37B4">
        <w:tc>
          <w:tcPr>
            <w:tcW w:w="10490" w:type="dxa"/>
          </w:tcPr>
          <w:p w14:paraId="55C3D49E" w14:textId="77777777" w:rsidR="00FA3CCC" w:rsidRPr="00FA3CCC" w:rsidRDefault="00FA3CCC" w:rsidP="00335351">
            <w:pPr>
              <w:spacing w:line="276" w:lineRule="auto"/>
              <w:jc w:val="both"/>
              <w:rPr>
                <w:rFonts w:ascii="Times New Roman" w:hAnsi="Times New Roman" w:cs="Times New Roman"/>
                <w:sz w:val="28"/>
                <w:szCs w:val="28"/>
              </w:rPr>
            </w:pPr>
          </w:p>
        </w:tc>
      </w:tr>
      <w:tr w:rsidR="00FA3CCC" w:rsidRPr="00FA3CCC" w14:paraId="51E81ABB" w14:textId="77777777" w:rsidTr="00DA37B4">
        <w:tc>
          <w:tcPr>
            <w:tcW w:w="10490" w:type="dxa"/>
          </w:tcPr>
          <w:p w14:paraId="7CF4AEF0" w14:textId="77777777" w:rsidR="00FA3CCC" w:rsidRPr="00FA3CCC" w:rsidRDefault="00FA3CCC" w:rsidP="00335351">
            <w:pPr>
              <w:pStyle w:val="a3"/>
              <w:numPr>
                <w:ilvl w:val="0"/>
                <w:numId w:val="1"/>
              </w:numPr>
              <w:spacing w:line="276" w:lineRule="auto"/>
              <w:jc w:val="both"/>
              <w:rPr>
                <w:rFonts w:ascii="Times New Roman" w:hAnsi="Times New Roman" w:cs="Times New Roman"/>
                <w:b/>
                <w:bCs/>
                <w:sz w:val="28"/>
                <w:szCs w:val="28"/>
              </w:rPr>
            </w:pPr>
            <w:r w:rsidRPr="00FA3CCC">
              <w:rPr>
                <w:rFonts w:ascii="Times New Roman" w:hAnsi="Times New Roman" w:cs="Times New Roman"/>
                <w:b/>
                <w:bCs/>
                <w:sz w:val="28"/>
                <w:szCs w:val="28"/>
              </w:rPr>
              <w:t>Информация по реализации профилактических мероприятий</w:t>
            </w:r>
          </w:p>
        </w:tc>
      </w:tr>
      <w:tr w:rsidR="00FA3CCC" w:rsidRPr="00FA3CCC" w14:paraId="1DC7C55C" w14:textId="77777777" w:rsidTr="00DA37B4">
        <w:tc>
          <w:tcPr>
            <w:tcW w:w="10490" w:type="dxa"/>
          </w:tcPr>
          <w:p w14:paraId="4C033FD9" w14:textId="01337CC0" w:rsidR="00FA3CCC" w:rsidRDefault="00FA3CCC" w:rsidP="00335351">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 xml:space="preserve">3.1. В целях предупреждения нарушений подконтрольными лицами обязательных требований законодательства, выявления причин, факторов и условий, способствующих нарушениям обязательных требований, и определения способов устранения или снижения рисков возникновения нарушений обязательных требований законодательства Агентством </w:t>
            </w:r>
            <w:r w:rsidR="00516C69">
              <w:rPr>
                <w:rFonts w:ascii="Times New Roman" w:hAnsi="Times New Roman" w:cs="Times New Roman"/>
                <w:sz w:val="28"/>
                <w:szCs w:val="28"/>
              </w:rPr>
              <w:t>совместно с органами местного самоуправления</w:t>
            </w:r>
            <w:r w:rsidR="00DA37B4">
              <w:rPr>
                <w:rFonts w:ascii="Times New Roman" w:hAnsi="Times New Roman" w:cs="Times New Roman"/>
                <w:sz w:val="28"/>
                <w:szCs w:val="28"/>
              </w:rPr>
              <w:t xml:space="preserve"> систематически</w:t>
            </w:r>
            <w:r w:rsidR="00516C69">
              <w:rPr>
                <w:rFonts w:ascii="Times New Roman" w:hAnsi="Times New Roman" w:cs="Times New Roman"/>
                <w:sz w:val="28"/>
                <w:szCs w:val="28"/>
              </w:rPr>
              <w:t xml:space="preserve"> проводится разъяснительная работа с населением о недопустимости </w:t>
            </w:r>
            <w:r w:rsidR="00516C69" w:rsidRPr="00516C69">
              <w:rPr>
                <w:rFonts w:ascii="Times New Roman" w:hAnsi="Times New Roman" w:cs="Times New Roman"/>
                <w:sz w:val="28"/>
                <w:szCs w:val="28"/>
              </w:rPr>
              <w:t>нарушения обязательных требований</w:t>
            </w:r>
            <w:r w:rsidR="00516C69">
              <w:rPr>
                <w:rFonts w:ascii="Times New Roman" w:hAnsi="Times New Roman" w:cs="Times New Roman"/>
                <w:sz w:val="28"/>
                <w:szCs w:val="28"/>
              </w:rPr>
              <w:t xml:space="preserve"> в сфере охраны культурного наследия.</w:t>
            </w:r>
          </w:p>
          <w:p w14:paraId="5056675A" w14:textId="2824E159" w:rsidR="00BE4F43" w:rsidRPr="00FA3CCC" w:rsidRDefault="00560A27" w:rsidP="00335351">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Также </w:t>
            </w:r>
            <w:r w:rsidR="00BE4F43">
              <w:rPr>
                <w:rFonts w:ascii="Times New Roman" w:hAnsi="Times New Roman" w:cs="Times New Roman"/>
                <w:sz w:val="28"/>
                <w:szCs w:val="28"/>
              </w:rPr>
              <w:t>Агентством в отчетном году был</w:t>
            </w:r>
            <w:r w:rsidR="00796B86">
              <w:rPr>
                <w:rFonts w:ascii="Times New Roman" w:hAnsi="Times New Roman" w:cs="Times New Roman"/>
                <w:sz w:val="28"/>
                <w:szCs w:val="28"/>
              </w:rPr>
              <w:t>а</w:t>
            </w:r>
            <w:r w:rsidR="00BE4F43">
              <w:rPr>
                <w:rFonts w:ascii="Times New Roman" w:hAnsi="Times New Roman" w:cs="Times New Roman"/>
                <w:sz w:val="28"/>
                <w:szCs w:val="28"/>
              </w:rPr>
              <w:t xml:space="preserve"> </w:t>
            </w:r>
            <w:r w:rsidR="00DA37B4">
              <w:rPr>
                <w:rFonts w:ascii="Times New Roman" w:hAnsi="Times New Roman" w:cs="Times New Roman"/>
                <w:sz w:val="28"/>
                <w:szCs w:val="28"/>
              </w:rPr>
              <w:t>реализована</w:t>
            </w:r>
            <w:r w:rsidR="00796B86">
              <w:rPr>
                <w:rFonts w:ascii="Times New Roman" w:hAnsi="Times New Roman" w:cs="Times New Roman"/>
                <w:sz w:val="28"/>
                <w:szCs w:val="28"/>
              </w:rPr>
              <w:t xml:space="preserve"> программа повышения квалификации</w:t>
            </w:r>
            <w:r w:rsidR="00BE4F43" w:rsidRPr="00BE4F43">
              <w:rPr>
                <w:rFonts w:ascii="Times New Roman" w:hAnsi="Times New Roman" w:cs="Times New Roman"/>
                <w:sz w:val="28"/>
                <w:szCs w:val="28"/>
              </w:rPr>
              <w:t xml:space="preserve"> </w:t>
            </w:r>
            <w:r w:rsidR="00796B86">
              <w:rPr>
                <w:rFonts w:ascii="Times New Roman" w:hAnsi="Times New Roman" w:cs="Times New Roman"/>
                <w:sz w:val="28"/>
                <w:szCs w:val="28"/>
              </w:rPr>
              <w:t>на тему: «Правоприменительная практика государственной охраны и использование объектов культурного наследия. Опыт республики Дагестан»</w:t>
            </w:r>
            <w:r w:rsidR="00BE4F43">
              <w:rPr>
                <w:rFonts w:ascii="Times New Roman" w:hAnsi="Times New Roman" w:cs="Times New Roman"/>
                <w:sz w:val="28"/>
                <w:szCs w:val="28"/>
              </w:rPr>
              <w:t xml:space="preserve"> </w:t>
            </w:r>
            <w:r w:rsidR="00BE4F43" w:rsidRPr="00BE4F43">
              <w:rPr>
                <w:rFonts w:ascii="Times New Roman" w:hAnsi="Times New Roman" w:cs="Times New Roman"/>
                <w:sz w:val="28"/>
                <w:szCs w:val="28"/>
              </w:rPr>
              <w:t>для</w:t>
            </w:r>
            <w:r w:rsidR="00796B86">
              <w:rPr>
                <w:rFonts w:ascii="Times New Roman" w:hAnsi="Times New Roman" w:cs="Times New Roman"/>
                <w:sz w:val="28"/>
                <w:szCs w:val="28"/>
              </w:rPr>
              <w:t xml:space="preserve"> </w:t>
            </w:r>
            <w:r w:rsidR="00BE4F43" w:rsidRPr="00BE4F43">
              <w:rPr>
                <w:rFonts w:ascii="Times New Roman" w:hAnsi="Times New Roman" w:cs="Times New Roman"/>
                <w:sz w:val="28"/>
                <w:szCs w:val="28"/>
              </w:rPr>
              <w:t>работников администраций муниципальных районов и городских округов</w:t>
            </w:r>
            <w:r w:rsidR="00BE4F43">
              <w:rPr>
                <w:rFonts w:ascii="Times New Roman" w:hAnsi="Times New Roman" w:cs="Times New Roman"/>
                <w:sz w:val="28"/>
                <w:szCs w:val="28"/>
              </w:rPr>
              <w:t>.</w:t>
            </w:r>
          </w:p>
        </w:tc>
      </w:tr>
      <w:tr w:rsidR="00FA3CCC" w:rsidRPr="00FA3CCC" w14:paraId="3BCBBEDD" w14:textId="77777777" w:rsidTr="00DA37B4">
        <w:tc>
          <w:tcPr>
            <w:tcW w:w="10490" w:type="dxa"/>
          </w:tcPr>
          <w:p w14:paraId="13EB0FD9" w14:textId="77777777" w:rsidR="00FA3CCC" w:rsidRPr="00FA3CCC" w:rsidRDefault="00FA3CCC" w:rsidP="00335351">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Приказом Агентства от 20 декабря 2023 г. № 245/23-од утверждена 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на 2024 год.</w:t>
            </w:r>
          </w:p>
        </w:tc>
      </w:tr>
      <w:tr w:rsidR="00FA3CCC" w:rsidRPr="00FA3CCC" w14:paraId="6EF2565D" w14:textId="77777777" w:rsidTr="00DA37B4">
        <w:tc>
          <w:tcPr>
            <w:tcW w:w="10490" w:type="dxa"/>
          </w:tcPr>
          <w:p w14:paraId="1266059F" w14:textId="77777777" w:rsidR="00FA3CCC" w:rsidRPr="00FA3CCC" w:rsidRDefault="00FA3CCC" w:rsidP="00335351">
            <w:pPr>
              <w:spacing w:line="276" w:lineRule="auto"/>
              <w:jc w:val="both"/>
              <w:rPr>
                <w:rFonts w:ascii="Times New Roman" w:hAnsi="Times New Roman" w:cs="Times New Roman"/>
                <w:sz w:val="28"/>
                <w:szCs w:val="28"/>
              </w:rPr>
            </w:pPr>
          </w:p>
        </w:tc>
      </w:tr>
      <w:tr w:rsidR="00FA3CCC" w:rsidRPr="00FA3CCC" w14:paraId="1EE38694" w14:textId="77777777" w:rsidTr="00DA37B4">
        <w:tc>
          <w:tcPr>
            <w:tcW w:w="10490" w:type="dxa"/>
          </w:tcPr>
          <w:p w14:paraId="61E81110" w14:textId="77777777" w:rsidR="00FA3CCC" w:rsidRPr="00FA3CCC" w:rsidRDefault="00FA3CCC" w:rsidP="00335351">
            <w:pPr>
              <w:pStyle w:val="a3"/>
              <w:numPr>
                <w:ilvl w:val="0"/>
                <w:numId w:val="1"/>
              </w:numPr>
              <w:spacing w:line="276" w:lineRule="auto"/>
              <w:jc w:val="both"/>
              <w:rPr>
                <w:rFonts w:ascii="Times New Roman" w:hAnsi="Times New Roman" w:cs="Times New Roman"/>
                <w:b/>
                <w:bCs/>
                <w:sz w:val="28"/>
                <w:szCs w:val="28"/>
              </w:rPr>
            </w:pPr>
            <w:r w:rsidRPr="00FA3CCC">
              <w:rPr>
                <w:rFonts w:ascii="Times New Roman" w:hAnsi="Times New Roman" w:cs="Times New Roman"/>
                <w:b/>
                <w:bCs/>
                <w:sz w:val="28"/>
                <w:szCs w:val="28"/>
              </w:rPr>
              <w:t>Предложения по актуализации обязательных требований</w:t>
            </w:r>
          </w:p>
        </w:tc>
      </w:tr>
      <w:tr w:rsidR="00FA3CCC" w:rsidRPr="00FA3CCC" w14:paraId="5C60452A" w14:textId="77777777" w:rsidTr="00DA37B4">
        <w:trPr>
          <w:trHeight w:val="1065"/>
        </w:trPr>
        <w:tc>
          <w:tcPr>
            <w:tcW w:w="10490" w:type="dxa"/>
          </w:tcPr>
          <w:p w14:paraId="19AEA799" w14:textId="0C89D86D" w:rsidR="00796B86" w:rsidRPr="00FA3CCC" w:rsidRDefault="00FA3CCC" w:rsidP="00335351">
            <w:pPr>
              <w:spacing w:line="276" w:lineRule="auto"/>
              <w:jc w:val="both"/>
              <w:rPr>
                <w:rFonts w:ascii="Times New Roman" w:hAnsi="Times New Roman" w:cs="Times New Roman"/>
                <w:sz w:val="28"/>
                <w:szCs w:val="28"/>
              </w:rPr>
            </w:pPr>
            <w:r w:rsidRPr="00FA3CCC">
              <w:rPr>
                <w:rFonts w:ascii="Times New Roman" w:hAnsi="Times New Roman" w:cs="Times New Roman"/>
                <w:sz w:val="28"/>
                <w:szCs w:val="28"/>
              </w:rPr>
              <w:t xml:space="preserve">4.1. Предлагаем рассмотреть вопрос изменения процента целевых показателей, утвержденных приказом Минкультуры России от 20.04.2016 г. № 876 «Об утверждении значения целевого показателя эффективности деятельности органов государственной власти субъектов Российской Федерации по осуществлению переданных им полномочий в области сохранения, использования, популяризации и государственной охраны объектов культурного наследия». Установление 20% целевого показателя для субъектов, имеющих большое количество объектов культурного наследия, значительно усложняет работу по иным, не менее важным, </w:t>
            </w:r>
            <w:r w:rsidRPr="00FA3CCC">
              <w:rPr>
                <w:rFonts w:ascii="Times New Roman" w:hAnsi="Times New Roman" w:cs="Times New Roman"/>
                <w:sz w:val="28"/>
                <w:szCs w:val="28"/>
              </w:rPr>
              <w:lastRenderedPageBreak/>
              <w:t>направлениям из-за чрезмерной концентрации трудовых ресурсов на одном направлении деятельности.</w:t>
            </w:r>
          </w:p>
        </w:tc>
      </w:tr>
      <w:tr w:rsidR="00834382" w:rsidRPr="00FA3CCC" w14:paraId="162CCC7E" w14:textId="77777777" w:rsidTr="00DA37B4">
        <w:trPr>
          <w:trHeight w:val="7364"/>
        </w:trPr>
        <w:tc>
          <w:tcPr>
            <w:tcW w:w="10490" w:type="dxa"/>
          </w:tcPr>
          <w:p w14:paraId="39487AB6" w14:textId="491797B0" w:rsidR="005506F0" w:rsidRDefault="005506F0" w:rsidP="00335351">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связи с нехваткой штатной единицы, </w:t>
            </w:r>
            <w:r w:rsidRPr="00796B86">
              <w:rPr>
                <w:rFonts w:ascii="Times New Roman" w:hAnsi="Times New Roman" w:cs="Times New Roman"/>
                <w:sz w:val="28"/>
                <w:szCs w:val="28"/>
              </w:rPr>
              <w:t>Агентством по охране культурного наследия Республики Дагестан было  направленно обращение</w:t>
            </w:r>
            <w:r>
              <w:rPr>
                <w:rFonts w:ascii="Times New Roman" w:hAnsi="Times New Roman" w:cs="Times New Roman"/>
                <w:sz w:val="28"/>
                <w:szCs w:val="28"/>
              </w:rPr>
              <w:t xml:space="preserve"> </w:t>
            </w:r>
            <w:r w:rsidRPr="00796B86">
              <w:rPr>
                <w:rFonts w:ascii="Times New Roman" w:hAnsi="Times New Roman" w:cs="Times New Roman"/>
                <w:sz w:val="28"/>
                <w:szCs w:val="28"/>
              </w:rPr>
              <w:t>в адрес</w:t>
            </w:r>
            <w:r>
              <w:rPr>
                <w:rFonts w:ascii="Times New Roman" w:hAnsi="Times New Roman" w:cs="Times New Roman"/>
                <w:sz w:val="28"/>
                <w:szCs w:val="28"/>
              </w:rPr>
              <w:t xml:space="preserve"> </w:t>
            </w:r>
            <w:r w:rsidRPr="00796B86">
              <w:rPr>
                <w:rFonts w:ascii="Times New Roman" w:hAnsi="Times New Roman" w:cs="Times New Roman"/>
                <w:sz w:val="28"/>
                <w:szCs w:val="28"/>
              </w:rPr>
              <w:t>руководителя</w:t>
            </w:r>
            <w:r>
              <w:rPr>
                <w:rFonts w:ascii="Times New Roman" w:hAnsi="Times New Roman" w:cs="Times New Roman"/>
                <w:sz w:val="28"/>
                <w:szCs w:val="28"/>
              </w:rPr>
              <w:t xml:space="preserve"> </w:t>
            </w:r>
            <w:r w:rsidRPr="00796B86">
              <w:rPr>
                <w:rFonts w:ascii="Times New Roman" w:hAnsi="Times New Roman" w:cs="Times New Roman"/>
                <w:sz w:val="28"/>
                <w:szCs w:val="28"/>
              </w:rPr>
              <w:t>Департамента государственной  охраны культурного</w:t>
            </w:r>
            <w:r>
              <w:rPr>
                <w:rFonts w:ascii="Times New Roman" w:hAnsi="Times New Roman" w:cs="Times New Roman"/>
                <w:sz w:val="28"/>
                <w:szCs w:val="28"/>
              </w:rPr>
              <w:t xml:space="preserve"> </w:t>
            </w:r>
            <w:r w:rsidRPr="00796B86">
              <w:rPr>
                <w:rFonts w:ascii="Times New Roman" w:hAnsi="Times New Roman" w:cs="Times New Roman"/>
                <w:sz w:val="28"/>
                <w:szCs w:val="28"/>
              </w:rPr>
              <w:t>наследия</w:t>
            </w:r>
            <w:r>
              <w:rPr>
                <w:rFonts w:ascii="Times New Roman" w:hAnsi="Times New Roman" w:cs="Times New Roman"/>
                <w:sz w:val="28"/>
                <w:szCs w:val="28"/>
              </w:rPr>
              <w:t xml:space="preserve"> </w:t>
            </w:r>
            <w:r w:rsidRPr="00796B86">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796B86">
              <w:rPr>
                <w:rFonts w:ascii="Times New Roman" w:hAnsi="Times New Roman" w:cs="Times New Roman"/>
                <w:sz w:val="28"/>
                <w:szCs w:val="28"/>
              </w:rPr>
              <w:t>культуры</w:t>
            </w:r>
            <w:r>
              <w:rPr>
                <w:rFonts w:ascii="Times New Roman" w:hAnsi="Times New Roman" w:cs="Times New Roman"/>
                <w:sz w:val="28"/>
                <w:szCs w:val="28"/>
              </w:rPr>
              <w:t xml:space="preserve"> </w:t>
            </w:r>
            <w:r w:rsidRPr="00796B86">
              <w:rPr>
                <w:rFonts w:ascii="Times New Roman" w:hAnsi="Times New Roman" w:cs="Times New Roman"/>
                <w:sz w:val="28"/>
                <w:szCs w:val="28"/>
              </w:rPr>
              <w:t xml:space="preserve">Российской  Федерации  </w:t>
            </w:r>
            <w:proofErr w:type="spellStart"/>
            <w:r w:rsidRPr="00796B86">
              <w:rPr>
                <w:rFonts w:ascii="Times New Roman" w:hAnsi="Times New Roman" w:cs="Times New Roman"/>
                <w:sz w:val="28"/>
                <w:szCs w:val="28"/>
              </w:rPr>
              <w:t>Рыбало</w:t>
            </w:r>
            <w:proofErr w:type="spellEnd"/>
            <w:r w:rsidRPr="00796B86">
              <w:rPr>
                <w:rFonts w:ascii="Times New Roman" w:hAnsi="Times New Roman" w:cs="Times New Roman"/>
                <w:sz w:val="28"/>
                <w:szCs w:val="28"/>
              </w:rPr>
              <w:t xml:space="preserve">  Р.А.,  о  внесении  изменений  в  расче</w:t>
            </w:r>
            <w:r>
              <w:rPr>
                <w:rFonts w:ascii="Times New Roman" w:hAnsi="Times New Roman" w:cs="Times New Roman"/>
                <w:sz w:val="28"/>
                <w:szCs w:val="28"/>
              </w:rPr>
              <w:t>т</w:t>
            </w:r>
            <w:r w:rsidRPr="00796B86">
              <w:rPr>
                <w:rFonts w:ascii="Times New Roman" w:hAnsi="Times New Roman" w:cs="Times New Roman"/>
                <w:sz w:val="28"/>
                <w:szCs w:val="28"/>
              </w:rPr>
              <w:t xml:space="preserve"> необходимой  численности  сотрудников  органа  исполнительной  власти субъекта  Российской  Федерации,  исполняющих  переданные  полномочия Российской  Федерации  в  области  охраны  объектов  культурного  наследия, от  11  апреля 2023  г. №  1093</w:t>
            </w:r>
            <w:r>
              <w:rPr>
                <w:rFonts w:ascii="Times New Roman" w:hAnsi="Times New Roman" w:cs="Times New Roman"/>
                <w:sz w:val="28"/>
                <w:szCs w:val="28"/>
              </w:rPr>
              <w:t>.</w:t>
            </w:r>
          </w:p>
          <w:p w14:paraId="4BC9C238" w14:textId="141C9D22" w:rsidR="005506F0" w:rsidRPr="005506F0" w:rsidRDefault="00834382" w:rsidP="005506F0">
            <w:pPr>
              <w:spacing w:line="276" w:lineRule="auto"/>
              <w:jc w:val="both"/>
              <w:rPr>
                <w:rFonts w:ascii="Times New Roman" w:hAnsi="Times New Roman" w:cs="Times New Roman"/>
                <w:sz w:val="28"/>
                <w:szCs w:val="28"/>
              </w:rPr>
            </w:pPr>
            <w:r w:rsidRPr="00796B86">
              <w:rPr>
                <w:rFonts w:ascii="Times New Roman" w:hAnsi="Times New Roman" w:cs="Times New Roman"/>
                <w:sz w:val="28"/>
                <w:szCs w:val="28"/>
              </w:rPr>
              <w:t>В  соответствии  с  методикой  распределения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по государственной  охране  объектов  культурного  наследия  федерального значения,  утвержденной  постановлением  Правительства  Российской Федерации  от  31  декабря  2009  г.  № 1183, штатная численность аппарата органа власти, на который возложено исполнение переданных полномочий в Республике Дагестан в сфере охраны объектов культурного наследия, должна составлять 33,6 ставочной единицы</w:t>
            </w:r>
            <w:r>
              <w:rPr>
                <w:rFonts w:ascii="Times New Roman" w:hAnsi="Times New Roman" w:cs="Times New Roman"/>
                <w:sz w:val="28"/>
                <w:szCs w:val="28"/>
              </w:rPr>
              <w:t>.</w:t>
            </w:r>
            <w:r w:rsidRPr="00796B86">
              <w:rPr>
                <w:rFonts w:ascii="Times New Roman" w:hAnsi="Times New Roman" w:cs="Times New Roman"/>
                <w:sz w:val="28"/>
                <w:szCs w:val="28"/>
              </w:rPr>
              <w:t xml:space="preserve"> В настоящее время указанные полномочия возложены на Агентство по охране культурного наследия Республики Дагестан с предоставлением ему 19,7</w:t>
            </w:r>
            <w:r>
              <w:rPr>
                <w:rFonts w:ascii="Times New Roman" w:hAnsi="Times New Roman" w:cs="Times New Roman"/>
                <w:sz w:val="28"/>
                <w:szCs w:val="28"/>
              </w:rPr>
              <w:t xml:space="preserve"> </w:t>
            </w:r>
            <w:r w:rsidRPr="00796B86">
              <w:rPr>
                <w:rFonts w:ascii="Times New Roman" w:hAnsi="Times New Roman" w:cs="Times New Roman"/>
                <w:sz w:val="28"/>
                <w:szCs w:val="28"/>
              </w:rPr>
              <w:t>ставочной единицы.</w:t>
            </w:r>
            <w:r>
              <w:rPr>
                <w:rFonts w:ascii="Times New Roman" w:hAnsi="Times New Roman" w:cs="Times New Roman"/>
                <w:sz w:val="28"/>
                <w:szCs w:val="28"/>
              </w:rPr>
              <w:t xml:space="preserve"> </w:t>
            </w:r>
            <w:r w:rsidRPr="00796B86">
              <w:rPr>
                <w:rFonts w:ascii="Times New Roman" w:hAnsi="Times New Roman" w:cs="Times New Roman"/>
                <w:sz w:val="28"/>
                <w:szCs w:val="28"/>
              </w:rPr>
              <w:t>Финансирование осуществляется за счет субвенций из федерального бюджета.</w:t>
            </w:r>
          </w:p>
        </w:tc>
      </w:tr>
      <w:tr w:rsidR="00FA3CCC" w:rsidRPr="00FA3CCC" w14:paraId="5E7A49B5" w14:textId="77777777" w:rsidTr="00DA37B4">
        <w:tc>
          <w:tcPr>
            <w:tcW w:w="10490" w:type="dxa"/>
          </w:tcPr>
          <w:p w14:paraId="744A3904" w14:textId="77777777" w:rsidR="00FA3CCC" w:rsidRPr="00FA3CCC" w:rsidRDefault="00FA3CCC" w:rsidP="00335351">
            <w:pPr>
              <w:spacing w:line="276" w:lineRule="auto"/>
              <w:jc w:val="both"/>
              <w:rPr>
                <w:rFonts w:ascii="Times New Roman" w:hAnsi="Times New Roman" w:cs="Times New Roman"/>
                <w:sz w:val="28"/>
                <w:szCs w:val="28"/>
              </w:rPr>
            </w:pPr>
          </w:p>
        </w:tc>
      </w:tr>
      <w:tr w:rsidR="00FA3CCC" w:rsidRPr="00FA3CCC" w14:paraId="5921E9DE" w14:textId="77777777" w:rsidTr="00DA37B4">
        <w:tc>
          <w:tcPr>
            <w:tcW w:w="10490" w:type="dxa"/>
          </w:tcPr>
          <w:p w14:paraId="146A9D51" w14:textId="77777777" w:rsidR="00FA3CCC" w:rsidRPr="00FA3CCC" w:rsidRDefault="00FA3CCC" w:rsidP="00335351">
            <w:pPr>
              <w:pStyle w:val="a3"/>
              <w:numPr>
                <w:ilvl w:val="0"/>
                <w:numId w:val="1"/>
              </w:numPr>
              <w:spacing w:line="276" w:lineRule="auto"/>
              <w:jc w:val="both"/>
              <w:rPr>
                <w:rFonts w:ascii="Times New Roman" w:hAnsi="Times New Roman" w:cs="Times New Roman"/>
                <w:b/>
                <w:bCs/>
                <w:sz w:val="28"/>
                <w:szCs w:val="28"/>
              </w:rPr>
            </w:pPr>
            <w:r w:rsidRPr="00FA3CCC">
              <w:rPr>
                <w:rFonts w:ascii="Times New Roman" w:hAnsi="Times New Roman" w:cs="Times New Roman"/>
                <w:b/>
                <w:bCs/>
                <w:sz w:val="28"/>
                <w:szCs w:val="28"/>
              </w:rPr>
              <w:t>Предложения о внесении изменений в законодательство Российской Федерации о государственном контроле (надзоре), муниципальном контроле</w:t>
            </w:r>
          </w:p>
        </w:tc>
      </w:tr>
      <w:tr w:rsidR="00FA3CCC" w:rsidRPr="00FA3CCC" w14:paraId="2EA8E7B4" w14:textId="77777777" w:rsidTr="00DA37B4">
        <w:tc>
          <w:tcPr>
            <w:tcW w:w="10490" w:type="dxa"/>
          </w:tcPr>
          <w:p w14:paraId="0515C165" w14:textId="5A6B94AC" w:rsidR="00FA3CCC" w:rsidRPr="00C136AB" w:rsidRDefault="00C136AB" w:rsidP="00C136A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5.1. </w:t>
            </w:r>
            <w:r w:rsidR="00560A27" w:rsidRPr="00560A27">
              <w:rPr>
                <w:rFonts w:ascii="Times New Roman" w:hAnsi="Times New Roman" w:cs="Times New Roman"/>
                <w:sz w:val="28"/>
                <w:szCs w:val="28"/>
              </w:rPr>
              <w:t>Предложения о несении изменений в законодательство Российской Федерации о государственном контроле (надзоре), муниципальном контроле отсутствуют.</w:t>
            </w:r>
          </w:p>
        </w:tc>
      </w:tr>
    </w:tbl>
    <w:p w14:paraId="73757D22" w14:textId="21A84D50" w:rsidR="00293460" w:rsidRPr="00FA3CCC" w:rsidRDefault="00293460" w:rsidP="00FA3CCC">
      <w:pPr>
        <w:spacing w:after="0" w:line="276" w:lineRule="auto"/>
        <w:jc w:val="both"/>
        <w:rPr>
          <w:rFonts w:ascii="Times New Roman" w:hAnsi="Times New Roman" w:cs="Times New Roman"/>
          <w:sz w:val="28"/>
          <w:szCs w:val="28"/>
        </w:rPr>
      </w:pPr>
    </w:p>
    <w:sectPr w:rsidR="00293460" w:rsidRPr="00FA3CCC" w:rsidSect="00834382">
      <w:pgSz w:w="11906" w:h="16838"/>
      <w:pgMar w:top="851"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83899"/>
    <w:multiLevelType w:val="multilevel"/>
    <w:tmpl w:val="9D3A3F5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7C0E002E"/>
    <w:multiLevelType w:val="hybridMultilevel"/>
    <w:tmpl w:val="36FA5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4B"/>
    <w:rsid w:val="000A5F2B"/>
    <w:rsid w:val="002503A5"/>
    <w:rsid w:val="00293460"/>
    <w:rsid w:val="002C31E9"/>
    <w:rsid w:val="003753AE"/>
    <w:rsid w:val="003917AB"/>
    <w:rsid w:val="00392F4B"/>
    <w:rsid w:val="00516C69"/>
    <w:rsid w:val="005506F0"/>
    <w:rsid w:val="0055302D"/>
    <w:rsid w:val="00560A27"/>
    <w:rsid w:val="006654B3"/>
    <w:rsid w:val="00796B86"/>
    <w:rsid w:val="00834382"/>
    <w:rsid w:val="00847C91"/>
    <w:rsid w:val="008E4D3E"/>
    <w:rsid w:val="0092384B"/>
    <w:rsid w:val="00BE4F43"/>
    <w:rsid w:val="00C00BCC"/>
    <w:rsid w:val="00C136AB"/>
    <w:rsid w:val="00C86FCF"/>
    <w:rsid w:val="00D5573A"/>
    <w:rsid w:val="00DA37B4"/>
    <w:rsid w:val="00F62760"/>
    <w:rsid w:val="00FA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FCF8"/>
  <w15:chartTrackingRefBased/>
  <w15:docId w15:val="{E6CFFEF1-FE2F-40BD-8B84-B4605755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C91"/>
    <w:pPr>
      <w:ind w:left="720"/>
      <w:contextualSpacing/>
    </w:pPr>
  </w:style>
  <w:style w:type="table" w:styleId="a4">
    <w:name w:val="Table Grid"/>
    <w:basedOn w:val="a1"/>
    <w:uiPriority w:val="39"/>
    <w:rsid w:val="00FA3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4420-3CED-4F16-ABE5-69833C4D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dc:creator>
  <cp:keywords/>
  <dc:description/>
  <cp:lastModifiedBy>Arsen</cp:lastModifiedBy>
  <cp:revision>3</cp:revision>
  <cp:lastPrinted>2024-01-31T14:31:00Z</cp:lastPrinted>
  <dcterms:created xsi:type="dcterms:W3CDTF">2024-01-31T13:56:00Z</dcterms:created>
  <dcterms:modified xsi:type="dcterms:W3CDTF">2024-01-31T14:31:00Z</dcterms:modified>
</cp:coreProperties>
</file>