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E6" w:rsidRPr="002F20FC" w:rsidRDefault="003372E6" w:rsidP="00455946">
      <w:pPr>
        <w:spacing w:after="0" w:line="240" w:lineRule="auto"/>
        <w:ind w:firstLine="709"/>
        <w:jc w:val="center"/>
        <w:rPr>
          <w:rFonts w:ascii="Times New Roman" w:hAnsi="Times New Roman" w:cs="Times New Roman"/>
          <w:b/>
          <w:bCs/>
          <w:sz w:val="28"/>
          <w:szCs w:val="28"/>
        </w:rPr>
      </w:pPr>
      <w:r w:rsidRPr="002F20FC">
        <w:rPr>
          <w:rFonts w:ascii="Times New Roman" w:hAnsi="Times New Roman" w:cs="Times New Roman"/>
          <w:b/>
          <w:bCs/>
          <w:sz w:val="28"/>
          <w:szCs w:val="28"/>
        </w:rPr>
        <w:t>СПРАВКА</w:t>
      </w:r>
    </w:p>
    <w:p w:rsidR="003372E6" w:rsidRPr="002F20FC" w:rsidRDefault="003372E6" w:rsidP="00455946">
      <w:pPr>
        <w:spacing w:after="0" w:line="240" w:lineRule="auto"/>
        <w:ind w:firstLine="709"/>
        <w:jc w:val="center"/>
        <w:rPr>
          <w:rFonts w:ascii="Times New Roman" w:hAnsi="Times New Roman" w:cs="Times New Roman"/>
          <w:b/>
          <w:bCs/>
          <w:sz w:val="28"/>
          <w:szCs w:val="28"/>
        </w:rPr>
      </w:pPr>
      <w:r w:rsidRPr="002F20FC">
        <w:rPr>
          <w:rFonts w:ascii="Times New Roman" w:hAnsi="Times New Roman" w:cs="Times New Roman"/>
          <w:b/>
          <w:bCs/>
          <w:sz w:val="28"/>
          <w:szCs w:val="28"/>
        </w:rPr>
        <w:t>к заседанию Правительства Республики Дагестан</w:t>
      </w:r>
    </w:p>
    <w:p w:rsidR="003372E6" w:rsidRPr="002F20FC" w:rsidRDefault="003372E6" w:rsidP="00455946">
      <w:pPr>
        <w:spacing w:after="0" w:line="240" w:lineRule="auto"/>
        <w:ind w:firstLine="709"/>
        <w:jc w:val="center"/>
        <w:rPr>
          <w:rFonts w:ascii="Times New Roman" w:hAnsi="Times New Roman" w:cs="Times New Roman"/>
          <w:b/>
          <w:bCs/>
          <w:sz w:val="28"/>
          <w:szCs w:val="28"/>
        </w:rPr>
      </w:pPr>
      <w:r w:rsidRPr="002F20FC">
        <w:rPr>
          <w:rFonts w:ascii="Times New Roman" w:hAnsi="Times New Roman" w:cs="Times New Roman"/>
          <w:b/>
          <w:bCs/>
          <w:sz w:val="28"/>
          <w:szCs w:val="28"/>
        </w:rPr>
        <w:t>по вопросу «О состоянии объектов культурного наследия в Республике Дагестан и мерах по обеспечению их сохранности»</w:t>
      </w:r>
    </w:p>
    <w:p w:rsidR="003372E6" w:rsidRPr="002F20FC" w:rsidRDefault="003372E6" w:rsidP="00455946">
      <w:pPr>
        <w:spacing w:after="0" w:line="240" w:lineRule="auto"/>
        <w:ind w:firstLine="709"/>
        <w:jc w:val="both"/>
        <w:rPr>
          <w:rFonts w:ascii="Times New Roman" w:hAnsi="Times New Roman" w:cs="Times New Roman"/>
          <w:sz w:val="28"/>
          <w:szCs w:val="28"/>
        </w:rPr>
      </w:pPr>
    </w:p>
    <w:p w:rsidR="003372E6" w:rsidRPr="002F20FC" w:rsidRDefault="003372E6" w:rsidP="00455946">
      <w:pPr>
        <w:pStyle w:val="228bf8a64b8551e1msonormal"/>
        <w:shd w:val="clear" w:color="auto" w:fill="FFFFFF"/>
        <w:spacing w:before="0" w:beforeAutospacing="0" w:after="0" w:afterAutospacing="0"/>
        <w:ind w:firstLine="709"/>
        <w:jc w:val="both"/>
        <w:rPr>
          <w:rFonts w:ascii="Times New Roman" w:hAnsi="Times New Roman" w:cs="Times New Roman"/>
          <w:sz w:val="28"/>
          <w:szCs w:val="28"/>
        </w:rPr>
      </w:pPr>
      <w:r w:rsidRPr="002F20FC">
        <w:rPr>
          <w:rFonts w:ascii="Times New Roman" w:hAnsi="Times New Roman" w:cs="Times New Roman"/>
          <w:sz w:val="28"/>
          <w:szCs w:val="28"/>
        </w:rPr>
        <w:t>На территории Республики Дагестан расположено 6243 объекта культурного наследия (далее – ОКН), из них: 1951 ОКН федерального значения; 4289 ОКН регионального значения; 3 ОКН муниципального значения. Также под государственной охраной находятся 2405 выявленных объектов, обладающих признаками ОКН.</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shd w:val="clear" w:color="auto" w:fill="FFFFFF"/>
        </w:rPr>
        <w:t>В едином государственном реестре объектов культурного наследия (памятников истории и культуры) народов Российской Федерации</w:t>
      </w:r>
      <w:r w:rsidRPr="002F20FC">
        <w:rPr>
          <w:rFonts w:ascii="Times New Roman" w:hAnsi="Times New Roman" w:cs="Times New Roman"/>
          <w:sz w:val="28"/>
          <w:szCs w:val="28"/>
        </w:rPr>
        <w:t xml:space="preserve"> зарегистрировано 6063 объекта культурного наследия, остальные памятники находятся на стадии согласования и регистрации.</w:t>
      </w:r>
    </w:p>
    <w:p w:rsidR="003372E6" w:rsidRPr="002F20FC" w:rsidRDefault="003372E6" w:rsidP="00455946">
      <w:pPr>
        <w:pStyle w:val="228bf8a64b8551e1msonormal"/>
        <w:shd w:val="clear" w:color="auto" w:fill="FFFFFF"/>
        <w:spacing w:before="0" w:beforeAutospacing="0" w:after="0" w:afterAutospacing="0"/>
        <w:ind w:firstLine="709"/>
        <w:jc w:val="both"/>
        <w:rPr>
          <w:rFonts w:ascii="Times New Roman" w:hAnsi="Times New Roman" w:cs="Times New Roman"/>
          <w:sz w:val="28"/>
          <w:szCs w:val="28"/>
        </w:rPr>
      </w:pPr>
      <w:r w:rsidRPr="002F20FC">
        <w:rPr>
          <w:rFonts w:ascii="Times New Roman" w:hAnsi="Times New Roman" w:cs="Times New Roman"/>
          <w:sz w:val="28"/>
          <w:szCs w:val="28"/>
        </w:rPr>
        <w:t>Полномочия по государственной охране ОКН, расположенных на территории Республики Дагестан, осуществляет Агентство по охране культурного наследия Республики Дагестан (далее – Агентство), за исключением 66 ОКН – объектов всемирного наследия ЮНЕСКО в г. Дербенте, в отношении которых полномочия реализуются Министерством культуры РФ.</w:t>
      </w:r>
    </w:p>
    <w:p w:rsidR="003372E6" w:rsidRPr="002F20FC" w:rsidRDefault="003372E6" w:rsidP="00455946">
      <w:pPr>
        <w:pStyle w:val="228bf8a64b8551e1msonormal"/>
        <w:shd w:val="clear" w:color="auto" w:fill="FFFFFF"/>
        <w:spacing w:before="0" w:beforeAutospacing="0" w:after="0" w:afterAutospacing="0"/>
        <w:ind w:firstLine="709"/>
        <w:jc w:val="both"/>
        <w:rPr>
          <w:rFonts w:ascii="Times New Roman" w:hAnsi="Times New Roman" w:cs="Times New Roman"/>
          <w:sz w:val="28"/>
          <w:szCs w:val="28"/>
        </w:rPr>
      </w:pPr>
      <w:r w:rsidRPr="002F20FC">
        <w:rPr>
          <w:rFonts w:ascii="Times New Roman" w:hAnsi="Times New Roman" w:cs="Times New Roman"/>
          <w:sz w:val="28"/>
          <w:szCs w:val="28"/>
        </w:rPr>
        <w:t>Финансирование содержания и деятельности Агентства осуществляется за счет средств республиканского бюджета Республики Дагестан и федерального бюджета в виде субвенций, предназначенных на реализацию переданных полномочий Российской Федерации в области сохранения, использования, популяризации и государственной охраны объектов культурного наследия федерального значения.</w:t>
      </w:r>
    </w:p>
    <w:p w:rsidR="003372E6" w:rsidRPr="002F20FC" w:rsidRDefault="003372E6" w:rsidP="00455946">
      <w:pPr>
        <w:spacing w:after="0" w:line="240" w:lineRule="auto"/>
        <w:ind w:firstLine="709"/>
        <w:jc w:val="both"/>
        <w:rPr>
          <w:rFonts w:ascii="Times New Roman" w:hAnsi="Times New Roman" w:cs="Times New Roman"/>
          <w:sz w:val="28"/>
          <w:szCs w:val="28"/>
        </w:rPr>
      </w:pP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b/>
          <w:bCs/>
          <w:sz w:val="28"/>
          <w:szCs w:val="28"/>
        </w:rPr>
        <w:t>Основные актуальные задачи, стоящие перед органами охранами памятников,</w:t>
      </w:r>
      <w:r w:rsidRPr="002F20FC">
        <w:rPr>
          <w:rFonts w:ascii="Times New Roman" w:hAnsi="Times New Roman" w:cs="Times New Roman"/>
          <w:sz w:val="28"/>
          <w:szCs w:val="28"/>
        </w:rPr>
        <w:t xml:space="preserve"> сформулированы в поручениях Президента Российской Федерации №Пр-2217 от 20.08.2012, №Пр-16 от 5.01.2013, №Пр-571 п.2 «г» от 04.04.2016, и относятся к установке границ территорий, охранных зон и предметов охраны ОКН, обеспечению их информационными надписями, а также к </w:t>
      </w:r>
      <w:r w:rsidRPr="002F20FC">
        <w:rPr>
          <w:rFonts w:ascii="Times New Roman" w:hAnsi="Times New Roman" w:cs="Times New Roman"/>
          <w:sz w:val="28"/>
          <w:szCs w:val="28"/>
          <w:shd w:val="clear" w:color="auto" w:fill="FFFFFF"/>
        </w:rPr>
        <w:t>обеспечению полноты ведомственного учета ОКН в Едином государственном реестре объектов культурного наследия (памятников истории и культуры) народов Российской Федерации.</w:t>
      </w:r>
    </w:p>
    <w:p w:rsidR="003372E6" w:rsidRPr="002F20FC" w:rsidRDefault="003372E6" w:rsidP="00455946">
      <w:pPr>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установке границ территории и зон охраны ОКН.</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К 2022 г. в отношении ОКН федерального значения утверждены границы территории 59 памятников, что составляет 3% от общего числа ОКН федерального значения, расположенных на территории РД, и охранные зоны 78 ОКН, что составляет 4% от общего числа ОКН федерального значения, расположенных на территории РД и требующих установки соответствующих зон.</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В отношении ОКН регионального значения утверждены границы территории 2059 ОКН (за 2021 год установлены границы территории 529 ОКН), что составляет 48% от общего числа ОКН регионального значения, и охранные зоны 41 ОКН (за 2021 год утверждены охранные зоны 5 ОКН), что составляет 1% от общего числа ОКН регионального значения.</w:t>
      </w:r>
    </w:p>
    <w:p w:rsidR="003372E6" w:rsidRPr="002F20FC" w:rsidRDefault="003372E6" w:rsidP="00455946">
      <w:pPr>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определению предмета охраны ОКН.</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К 2022 г. установлены предметы охраны 3 ОКН федерального значения и 11 ОКН регионального значения, что составляет менее 1% от общего числа ОКН, требующих определения предмета охраны.</w:t>
      </w:r>
    </w:p>
    <w:p w:rsidR="003372E6" w:rsidRPr="002F20FC" w:rsidRDefault="003372E6" w:rsidP="00455946">
      <w:pPr>
        <w:spacing w:after="0" w:line="240" w:lineRule="auto"/>
        <w:ind w:firstLine="709"/>
        <w:jc w:val="both"/>
        <w:rPr>
          <w:rStyle w:val="doccaption"/>
          <w:rFonts w:ascii="Times New Roman" w:hAnsi="Times New Roman" w:cs="Times New Roman"/>
          <w:b/>
          <w:bCs/>
          <w:i/>
          <w:iCs/>
          <w:sz w:val="28"/>
          <w:szCs w:val="28"/>
        </w:rPr>
      </w:pPr>
      <w:r w:rsidRPr="002F20FC">
        <w:rPr>
          <w:rFonts w:ascii="Times New Roman" w:hAnsi="Times New Roman" w:cs="Times New Roman"/>
          <w:b/>
          <w:bCs/>
          <w:i/>
          <w:iCs/>
          <w:sz w:val="28"/>
          <w:szCs w:val="28"/>
        </w:rPr>
        <w:t>По обеспечению ОКН информационными надписями.</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 xml:space="preserve">Информационные надписи и обозначения установлены на 129 ОКН федерального значения (за 2021 год в отношении 15 памятников), что составляет почти 85% от общего числа ОКН, расположенных на территории РД, и требующих соответствующих обозначений. На 120 ОКН регионального значения установлены информационные надписи (за 2021 год в отношении 40 ОКН), что составляет немногим более 4% от требуемого их числа. </w:t>
      </w:r>
    </w:p>
    <w:p w:rsidR="003372E6" w:rsidRPr="002F20FC" w:rsidRDefault="003372E6" w:rsidP="00455946">
      <w:pPr>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количеству ОКН, обеспеченных утвержденными охранными</w:t>
      </w:r>
      <w:r>
        <w:rPr>
          <w:rFonts w:ascii="Times New Roman" w:hAnsi="Times New Roman" w:cs="Times New Roman"/>
          <w:b/>
          <w:bCs/>
          <w:i/>
          <w:iCs/>
          <w:sz w:val="28"/>
          <w:szCs w:val="28"/>
        </w:rPr>
        <w:t xml:space="preserve"> </w:t>
      </w:r>
      <w:r w:rsidRPr="002F20FC">
        <w:rPr>
          <w:rFonts w:ascii="Times New Roman" w:hAnsi="Times New Roman" w:cs="Times New Roman"/>
          <w:b/>
          <w:bCs/>
          <w:i/>
          <w:iCs/>
          <w:sz w:val="28"/>
          <w:szCs w:val="28"/>
        </w:rPr>
        <w:t>обязательствами.</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 xml:space="preserve">В интересах сохранения объектов культурного наследия утверждаются охранные обязательства собственника или иных законных владельцев ОКН, за исключением </w:t>
      </w:r>
      <w:r w:rsidRPr="002F20FC">
        <w:rPr>
          <w:rFonts w:ascii="Times New Roman" w:hAnsi="Times New Roman" w:cs="Times New Roman"/>
          <w:sz w:val="28"/>
          <w:szCs w:val="28"/>
          <w:shd w:val="clear" w:color="auto" w:fill="FFFFFF"/>
        </w:rPr>
        <w:t>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r w:rsidRPr="002F20FC">
        <w:rPr>
          <w:rFonts w:ascii="Times New Roman" w:hAnsi="Times New Roman" w:cs="Times New Roman"/>
          <w:sz w:val="28"/>
          <w:szCs w:val="28"/>
        </w:rPr>
        <w:t>. По ОКН федерального значения утверждены охранные обязательства в отношении 113 ОКН (за 2021 год Агентством утверждены охранные обязательства в отношении 16 ОКН), что составляет почти 6% от числа ОКН федерального значения, требующих заключения охранных обязательств.</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По ОКН</w:t>
      </w:r>
      <w:r>
        <w:rPr>
          <w:rFonts w:ascii="Times New Roman" w:hAnsi="Times New Roman" w:cs="Times New Roman"/>
          <w:sz w:val="28"/>
          <w:szCs w:val="28"/>
        </w:rPr>
        <w:t xml:space="preserve"> </w:t>
      </w:r>
      <w:r w:rsidRPr="002F20FC">
        <w:rPr>
          <w:rFonts w:ascii="Times New Roman" w:hAnsi="Times New Roman" w:cs="Times New Roman"/>
          <w:sz w:val="28"/>
          <w:szCs w:val="28"/>
        </w:rPr>
        <w:t>регионального значения заключены охранные обязательства в отношении 7 памятников, что составляет менее 1% от общего числа ОКН регионального значения, требующих утверждения охранных обязательств.</w:t>
      </w:r>
    </w:p>
    <w:p w:rsidR="003372E6" w:rsidRPr="002F20FC" w:rsidRDefault="003372E6" w:rsidP="00455946">
      <w:pPr>
        <w:tabs>
          <w:tab w:val="left" w:pos="5505"/>
        </w:tabs>
        <w:spacing w:after="0" w:line="240" w:lineRule="auto"/>
        <w:ind w:firstLine="709"/>
        <w:jc w:val="both"/>
        <w:rPr>
          <w:rFonts w:ascii="Times New Roman" w:hAnsi="Times New Roman" w:cs="Times New Roman"/>
          <w:i/>
          <w:iCs/>
          <w:sz w:val="28"/>
          <w:szCs w:val="28"/>
        </w:rPr>
      </w:pPr>
      <w:r w:rsidRPr="002F20FC">
        <w:rPr>
          <w:rFonts w:ascii="Times New Roman" w:hAnsi="Times New Roman" w:cs="Times New Roman"/>
          <w:b/>
          <w:bCs/>
          <w:i/>
          <w:iCs/>
          <w:sz w:val="28"/>
          <w:szCs w:val="28"/>
        </w:rPr>
        <w:t>По обеспечению внесения в Единый государственный реестр</w:t>
      </w:r>
      <w:r>
        <w:rPr>
          <w:rFonts w:ascii="Times New Roman" w:hAnsi="Times New Roman" w:cs="Times New Roman"/>
          <w:b/>
          <w:bCs/>
          <w:i/>
          <w:iCs/>
          <w:sz w:val="28"/>
          <w:szCs w:val="28"/>
        </w:rPr>
        <w:t xml:space="preserve"> </w:t>
      </w:r>
      <w:r w:rsidRPr="002F20FC">
        <w:rPr>
          <w:rFonts w:ascii="Times New Roman" w:hAnsi="Times New Roman" w:cs="Times New Roman"/>
          <w:b/>
          <w:bCs/>
          <w:i/>
          <w:iCs/>
          <w:sz w:val="28"/>
          <w:szCs w:val="28"/>
        </w:rPr>
        <w:t>недвижимости сведений об ОКН.</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В Единый государственный реестр недвижимости (далее – ЕГРН) должны быть внесены сведения по 2704 ОКН (142 ОКН федерального значения, 2559 ОКН регионального значения и 3 ОКН муниципального значения), остальные ОКН</w:t>
      </w:r>
      <w:r w:rsidRPr="002F20FC">
        <w:rPr>
          <w:rFonts w:ascii="Times New Roman" w:hAnsi="Times New Roman" w:cs="Times New Roman"/>
          <w:spacing w:val="10"/>
          <w:sz w:val="28"/>
          <w:szCs w:val="28"/>
        </w:rPr>
        <w:t xml:space="preserve"> не могут выступать в качестве самостоятельных объектов недвижимости, капитального строительства.</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shd w:val="clear" w:color="auto" w:fill="FFFFFF"/>
        </w:rPr>
        <w:t xml:space="preserve">На сегодняшний день </w:t>
      </w:r>
      <w:r w:rsidRPr="002F20FC">
        <w:rPr>
          <w:rFonts w:ascii="Times New Roman" w:hAnsi="Times New Roman" w:cs="Times New Roman"/>
          <w:sz w:val="28"/>
          <w:szCs w:val="28"/>
        </w:rPr>
        <w:t>в рамках исполнения мероприятий по обеспечению внесения в ЕГРН сведений о ключевых объектах учета, Агентством внесены сведения по 110 объектам недвижимости, являющихся объектами культурного наследия (37 ОКН федерального значения, 70 ОКН регионального значения и 3 ОКН муниципального значения).</w:t>
      </w:r>
    </w:p>
    <w:p w:rsidR="003372E6" w:rsidRPr="002F20FC" w:rsidRDefault="003372E6" w:rsidP="00455946">
      <w:pPr>
        <w:spacing w:after="0" w:line="240" w:lineRule="auto"/>
        <w:ind w:firstLine="709"/>
        <w:jc w:val="both"/>
        <w:rPr>
          <w:rFonts w:ascii="Times New Roman" w:hAnsi="Times New Roman" w:cs="Times New Roman"/>
          <w:color w:val="7030A0"/>
          <w:sz w:val="28"/>
          <w:szCs w:val="28"/>
        </w:rPr>
      </w:pPr>
      <w:r w:rsidRPr="002F20FC">
        <w:rPr>
          <w:rFonts w:ascii="Times New Roman" w:hAnsi="Times New Roman" w:cs="Times New Roman"/>
          <w:sz w:val="28"/>
          <w:szCs w:val="28"/>
        </w:rPr>
        <w:t xml:space="preserve">Также внесению в ЕГРН подлежат установленные границы, охранные зоны, охранные обязательства. К настоящему времени из имеющихся утвержденных 2118 границ внесены 2059, охранные зоны внесены все, из 120 охранных обязательств, внесены 104. Остальные сведения находятся в процессе регистрации или в стадии подготовки документации для последующего внесения. </w:t>
      </w:r>
    </w:p>
    <w:p w:rsidR="003372E6" w:rsidRPr="002F20FC" w:rsidRDefault="003372E6" w:rsidP="00455946">
      <w:pPr>
        <w:tabs>
          <w:tab w:val="left" w:pos="5505"/>
        </w:tabs>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обеспечению полноты и качественного учета</w:t>
      </w:r>
      <w:r w:rsidRPr="002F20FC">
        <w:rPr>
          <w:rFonts w:ascii="Times New Roman" w:hAnsi="Times New Roman" w:cs="Times New Roman"/>
          <w:b/>
          <w:bCs/>
          <w:i/>
          <w:iCs/>
          <w:sz w:val="28"/>
          <w:szCs w:val="28"/>
          <w:shd w:val="clear" w:color="auto" w:fill="FFFFFF"/>
        </w:rPr>
        <w:t xml:space="preserve"> объектов культурного наследия в Едином государственном реестре объектов культурного наследия (памятников истории и культуры) народов Российской Федерации.</w:t>
      </w:r>
    </w:p>
    <w:p w:rsidR="003372E6" w:rsidRPr="002F20FC" w:rsidRDefault="003372E6" w:rsidP="00455946">
      <w:pPr>
        <w:spacing w:after="0" w:line="240" w:lineRule="auto"/>
        <w:ind w:firstLine="709"/>
        <w:jc w:val="both"/>
        <w:rPr>
          <w:rFonts w:ascii="Times New Roman" w:hAnsi="Times New Roman" w:cs="Times New Roman"/>
          <w:sz w:val="28"/>
          <w:szCs w:val="28"/>
          <w:shd w:val="clear" w:color="auto" w:fill="FFFFFF"/>
        </w:rPr>
      </w:pPr>
      <w:r w:rsidRPr="002F20FC">
        <w:rPr>
          <w:rFonts w:ascii="Times New Roman" w:hAnsi="Times New Roman" w:cs="Times New Roman"/>
          <w:sz w:val="28"/>
          <w:szCs w:val="28"/>
        </w:rPr>
        <w:t>С</w:t>
      </w:r>
      <w:r w:rsidRPr="002F20FC">
        <w:rPr>
          <w:rFonts w:ascii="Times New Roman" w:hAnsi="Times New Roman" w:cs="Times New Roman"/>
          <w:sz w:val="28"/>
          <w:szCs w:val="28"/>
          <w:shd w:val="clear" w:color="auto" w:fill="FFFFFF"/>
        </w:rPr>
        <w:t>ведения, содержащиеся в Едином государственном реестре объектов культурного наследия (памятников истории и культуры) народов Российской Федерации (далее – ЕГРОКН), являются основными источниками информации об объектах культурного наследия.</w:t>
      </w:r>
      <w:r>
        <w:rPr>
          <w:rFonts w:ascii="Times New Roman" w:hAnsi="Times New Roman" w:cs="Times New Roman"/>
          <w:sz w:val="28"/>
          <w:szCs w:val="28"/>
          <w:shd w:val="clear" w:color="auto" w:fill="FFFFFF"/>
        </w:rPr>
        <w:t xml:space="preserve"> </w:t>
      </w:r>
      <w:r w:rsidRPr="002F20FC">
        <w:rPr>
          <w:rFonts w:ascii="Times New Roman" w:hAnsi="Times New Roman" w:cs="Times New Roman"/>
          <w:sz w:val="28"/>
          <w:szCs w:val="28"/>
          <w:shd w:val="clear" w:color="auto" w:fill="FFFFFF"/>
        </w:rPr>
        <w:t>К настоящему времени</w:t>
      </w:r>
      <w:r>
        <w:rPr>
          <w:rFonts w:ascii="Times New Roman" w:hAnsi="Times New Roman" w:cs="Times New Roman"/>
          <w:sz w:val="28"/>
          <w:szCs w:val="28"/>
          <w:shd w:val="clear" w:color="auto" w:fill="FFFFFF"/>
        </w:rPr>
        <w:t xml:space="preserve"> </w:t>
      </w:r>
      <w:r w:rsidRPr="002F20FC">
        <w:rPr>
          <w:rFonts w:ascii="Times New Roman" w:hAnsi="Times New Roman" w:cs="Times New Roman"/>
          <w:sz w:val="28"/>
          <w:szCs w:val="28"/>
          <w:shd w:val="clear" w:color="auto" w:fill="FFFFFF"/>
        </w:rPr>
        <w:t>обеспечена</w:t>
      </w:r>
      <w:r>
        <w:rPr>
          <w:rFonts w:ascii="Times New Roman" w:hAnsi="Times New Roman" w:cs="Times New Roman"/>
          <w:sz w:val="28"/>
          <w:szCs w:val="28"/>
          <w:shd w:val="clear" w:color="auto" w:fill="FFFFFF"/>
        </w:rPr>
        <w:t xml:space="preserve"> </w:t>
      </w:r>
      <w:r w:rsidRPr="002F20FC">
        <w:rPr>
          <w:rFonts w:ascii="Times New Roman" w:hAnsi="Times New Roman" w:cs="Times New Roman"/>
          <w:sz w:val="28"/>
          <w:szCs w:val="28"/>
          <w:shd w:val="clear" w:color="auto" w:fill="FFFFFF"/>
        </w:rPr>
        <w:t>наполняемость ЕГРОКН внесением</w:t>
      </w:r>
      <w:r>
        <w:rPr>
          <w:rFonts w:ascii="Times New Roman" w:hAnsi="Times New Roman" w:cs="Times New Roman"/>
          <w:sz w:val="28"/>
          <w:szCs w:val="28"/>
          <w:shd w:val="clear" w:color="auto" w:fill="FFFFFF"/>
        </w:rPr>
        <w:t xml:space="preserve"> </w:t>
      </w:r>
      <w:r w:rsidRPr="002F20FC">
        <w:rPr>
          <w:rFonts w:ascii="Times New Roman" w:hAnsi="Times New Roman" w:cs="Times New Roman"/>
          <w:sz w:val="28"/>
          <w:szCs w:val="28"/>
          <w:shd w:val="clear" w:color="auto" w:fill="FFFFFF"/>
        </w:rPr>
        <w:t xml:space="preserve">сведений о границах территорий, охранных зонах, предметах охраны, охранных обязательствах и актах проверки за все предыдущие годы работы Агентства, за исключением незначительной части сведений, которые направлены на регистрацию или обеспечиваются документами для направления на регистрацию. </w:t>
      </w:r>
    </w:p>
    <w:p w:rsidR="003372E6" w:rsidRPr="002F20FC" w:rsidRDefault="003372E6" w:rsidP="00455946">
      <w:pPr>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исполнению контрольно-надзорных функций.</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 xml:space="preserve">С момента создания Агентства, а именно с 2017 г. по 2020 г. различными контрольно-надзорными мероприятиями (плановые проверки, систематическое наблюдение и др.) были охвачены  202 памятника федерального значения и 156 регионального значения с оформлением соответствующих актов. Результатами их становятся дела об административном правонарушении, выдача предписаний о приостановке работ и об устранении выявленных нарушений требований законодательства, составление протоколов об административных правонарушениях, передача материалов в правоохранительные органы для принятия мер реагирования. </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В 2021 г. надзорными мероприятиями охвачено 48 ОКН регионального значения. В отношении ОКН федерального значения были проведены надзорные мероприятия в отношении 389 памятников. Таким образом, Агентством в 2021 г. впервые достигнуты утвержденные приказом Министерства культуры РФ от 20 апреля 2016 г. №876 значения целевого показателя эффективности деятельности по осуществлению переданных полномочий в области сохранения, использования, популяризации и государственной охраны ОКН, выражавшееся в доведение числа ежегодных проверок памятников истории и культуры федерального значения до 20% от их общей численности.</w:t>
      </w:r>
    </w:p>
    <w:p w:rsidR="003372E6" w:rsidRPr="002F20FC" w:rsidRDefault="003372E6" w:rsidP="00455946">
      <w:pPr>
        <w:tabs>
          <w:tab w:val="left" w:pos="5505"/>
        </w:tabs>
        <w:spacing w:after="0" w:line="240" w:lineRule="auto"/>
        <w:ind w:firstLine="709"/>
        <w:jc w:val="both"/>
        <w:rPr>
          <w:rFonts w:ascii="Times New Roman" w:hAnsi="Times New Roman" w:cs="Times New Roman"/>
          <w:b/>
          <w:bCs/>
          <w:i/>
          <w:iCs/>
          <w:sz w:val="28"/>
          <w:szCs w:val="28"/>
        </w:rPr>
      </w:pPr>
      <w:r w:rsidRPr="002F20FC">
        <w:rPr>
          <w:rFonts w:ascii="Times New Roman" w:hAnsi="Times New Roman" w:cs="Times New Roman"/>
          <w:b/>
          <w:bCs/>
          <w:i/>
          <w:iCs/>
          <w:sz w:val="28"/>
          <w:szCs w:val="28"/>
        </w:rPr>
        <w:t>По сохранности объектов культурного наследия.</w:t>
      </w:r>
    </w:p>
    <w:p w:rsidR="003372E6" w:rsidRPr="002F20FC" w:rsidRDefault="003372E6" w:rsidP="00455946">
      <w:pPr>
        <w:spacing w:after="0" w:line="240" w:lineRule="auto"/>
        <w:ind w:firstLine="709"/>
        <w:jc w:val="both"/>
        <w:rPr>
          <w:rFonts w:ascii="Times New Roman" w:hAnsi="Times New Roman" w:cs="Times New Roman"/>
          <w:sz w:val="28"/>
          <w:szCs w:val="28"/>
          <w:shd w:val="clear" w:color="auto" w:fill="FFFFFF"/>
        </w:rPr>
      </w:pPr>
      <w:r w:rsidRPr="002F20FC">
        <w:rPr>
          <w:rFonts w:ascii="Times New Roman" w:hAnsi="Times New Roman" w:cs="Times New Roman"/>
          <w:sz w:val="28"/>
          <w:szCs w:val="28"/>
        </w:rPr>
        <w:t xml:space="preserve">На сегодняшний день по результатам мониторинга 2682 ОКН установлено, что не сохранена физическая целостность 11 ОКН федерального значения и 15 ОКН регионального значения. </w:t>
      </w:r>
      <w:r w:rsidRPr="002F20FC">
        <w:rPr>
          <w:rFonts w:ascii="Times New Roman" w:hAnsi="Times New Roman" w:cs="Times New Roman"/>
          <w:sz w:val="28"/>
          <w:szCs w:val="28"/>
          <w:shd w:val="clear" w:color="auto" w:fill="FFFFFF"/>
        </w:rPr>
        <w:t>Также в рамках работ по установке границ территории объектов культурного наследия, Агентству представлена информация о 127 не сохранившихся памятниках, однако данная информация требует проверки и составления соответствующих Актов технического состояния.</w:t>
      </w:r>
    </w:p>
    <w:p w:rsidR="003372E6" w:rsidRPr="002F20FC" w:rsidRDefault="003372E6" w:rsidP="00455946">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В аварийном состоянии находятся 18 ОКН федерального значения и 20 ОКН регионального значения, требующие проведения срочных противоаварийных и ремонтно-реставрационных работ. Данные цифры не окончательны, инвентаризация продолжается.</w:t>
      </w:r>
    </w:p>
    <w:p w:rsidR="003372E6" w:rsidRPr="002F20FC" w:rsidRDefault="003372E6" w:rsidP="00455946">
      <w:pPr>
        <w:spacing w:after="0" w:line="240" w:lineRule="auto"/>
        <w:ind w:firstLine="709"/>
        <w:jc w:val="both"/>
        <w:rPr>
          <w:rFonts w:ascii="Times New Roman" w:hAnsi="Times New Roman" w:cs="Times New Roman"/>
          <w:i/>
          <w:iCs/>
          <w:sz w:val="28"/>
          <w:szCs w:val="28"/>
        </w:rPr>
      </w:pPr>
      <w:r w:rsidRPr="002F20FC">
        <w:rPr>
          <w:rFonts w:ascii="Times New Roman" w:hAnsi="Times New Roman" w:cs="Times New Roman"/>
          <w:b/>
          <w:bCs/>
          <w:i/>
          <w:iCs/>
          <w:sz w:val="28"/>
          <w:szCs w:val="28"/>
        </w:rPr>
        <w:t>По обеспечению проведения мероприятий по сохранению</w:t>
      </w:r>
      <w:r>
        <w:rPr>
          <w:rFonts w:ascii="Times New Roman" w:hAnsi="Times New Roman" w:cs="Times New Roman"/>
          <w:b/>
          <w:bCs/>
          <w:i/>
          <w:iCs/>
          <w:sz w:val="28"/>
          <w:szCs w:val="28"/>
        </w:rPr>
        <w:t xml:space="preserve"> </w:t>
      </w:r>
      <w:r w:rsidRPr="002F20FC">
        <w:rPr>
          <w:rFonts w:ascii="Times New Roman" w:hAnsi="Times New Roman" w:cs="Times New Roman"/>
          <w:b/>
          <w:bCs/>
          <w:i/>
          <w:iCs/>
          <w:sz w:val="28"/>
          <w:szCs w:val="28"/>
        </w:rPr>
        <w:t>(разработка проектной документации, ремонт и реставрация) ОКН.</w:t>
      </w:r>
    </w:p>
    <w:p w:rsidR="003372E6" w:rsidRPr="002F20FC" w:rsidRDefault="003372E6" w:rsidP="00455946">
      <w:pPr>
        <w:tabs>
          <w:tab w:val="left" w:pos="5505"/>
        </w:tabs>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До 2022 г. Агентство не имело финансовых средств на проведение работ по сохранению ОКН. На 2022–2024 гг. в государственной программе Республики Дагестан «Государственная охрана, сохранение, использование, популяризация объектов культурного наследия Республики Дагестан» утвержденной постановлением Правительства Республики Дагестан от 17 октября 2017г. № 246, предусмотрены финансовые средства на данные мероприятия, требующие  значительных затрат.</w:t>
      </w:r>
    </w:p>
    <w:p w:rsidR="003372E6" w:rsidRPr="002F20FC" w:rsidRDefault="003372E6" w:rsidP="00455946">
      <w:pPr>
        <w:tabs>
          <w:tab w:val="left" w:pos="5505"/>
        </w:tabs>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 xml:space="preserve">В отношении ряда объектов на территории Республики в прошлом и в этом году проводились и проводятся мероприятия по сохранению. В отношении ОКН регионального значения, в 2021 г. Агентством было выдано разрешение на разработку </w:t>
      </w:r>
      <w:r w:rsidRPr="002F20FC">
        <w:rPr>
          <w:rFonts w:ascii="Times New Roman" w:hAnsi="Times New Roman" w:cs="Times New Roman"/>
          <w:sz w:val="28"/>
          <w:szCs w:val="28"/>
          <w:shd w:val="clear" w:color="auto" w:fill="FFFFFF"/>
        </w:rPr>
        <w:t>проектной документации по сохранению объекта культурного наследия регионального значения «Гунибская крепость», 1863-1867 гг. (с.Гуниб, Гунибского района), разрешение на проведение ремонтных работ по сохранению объектов культурного наследия регионального значения «</w:t>
      </w:r>
      <w:r w:rsidRPr="002F20FC">
        <w:rPr>
          <w:rFonts w:ascii="Times New Roman" w:hAnsi="Times New Roman" w:cs="Times New Roman"/>
          <w:sz w:val="28"/>
          <w:szCs w:val="28"/>
        </w:rPr>
        <w:t>Здание, в котором в 1941-1944 гг. находились эвакогоспитали № 3187 и № 5061</w:t>
      </w:r>
      <w:r w:rsidRPr="002F20FC">
        <w:rPr>
          <w:rFonts w:ascii="Times New Roman" w:hAnsi="Times New Roman" w:cs="Times New Roman"/>
          <w:sz w:val="28"/>
          <w:szCs w:val="28"/>
          <w:shd w:val="clear" w:color="auto" w:fill="FFFFFF"/>
        </w:rPr>
        <w:t>» (г. Махачкала, здание Дагестанского театра кукол),</w:t>
      </w:r>
      <w:r w:rsidRPr="002F20FC">
        <w:rPr>
          <w:rFonts w:ascii="Times New Roman" w:hAnsi="Times New Roman" w:cs="Times New Roman"/>
          <w:sz w:val="28"/>
          <w:szCs w:val="28"/>
        </w:rPr>
        <w:t xml:space="preserve"> «</w:t>
      </w:r>
      <w:r w:rsidRPr="002F20FC">
        <w:rPr>
          <w:rFonts w:ascii="Times New Roman" w:hAnsi="Times New Roman" w:cs="Times New Roman"/>
          <w:sz w:val="28"/>
          <w:szCs w:val="28"/>
          <w:shd w:val="clear" w:color="auto" w:fill="FFFFFF"/>
        </w:rPr>
        <w:t>Здание музыкально-драматического театра, в котором удачно совмещены элементы народной и современной архитектуры. Арх. Г.Я. Мовчан» (г.Махачкала, здание Аварского театра) и «Дом Чупанова» (с.Хунзах, здание филиала Национального музея Дагестана). Работы проводились за счет средств Министерства культуры РФ или собственника. В отношении ОКН федерального значения силами Минкульта РФ проводятся работы по реставрации поврежденных ворот «Орта-капы» в г. Дербенте.</w:t>
      </w:r>
    </w:p>
    <w:p w:rsidR="003372E6" w:rsidRPr="002F20FC" w:rsidRDefault="003372E6" w:rsidP="000F3959">
      <w:pPr>
        <w:tabs>
          <w:tab w:val="left" w:pos="5505"/>
        </w:tabs>
        <w:spacing w:after="0" w:line="240" w:lineRule="auto"/>
        <w:ind w:firstLine="709"/>
        <w:jc w:val="both"/>
        <w:rPr>
          <w:rFonts w:ascii="Times New Roman" w:hAnsi="Times New Roman" w:cs="Times New Roman"/>
          <w:sz w:val="28"/>
          <w:szCs w:val="28"/>
          <w:shd w:val="clear" w:color="auto" w:fill="FFFFFF"/>
        </w:rPr>
      </w:pPr>
      <w:r w:rsidRPr="002F20FC">
        <w:rPr>
          <w:rFonts w:ascii="Times New Roman" w:hAnsi="Times New Roman" w:cs="Times New Roman"/>
          <w:sz w:val="28"/>
          <w:szCs w:val="28"/>
        </w:rPr>
        <w:t xml:space="preserve">В 2021 г. Агентством подготовлена и направлена заявка на участие в государственной программе «Развитие культуры» для проведения проектных работ по реставрации ОКН федерального значения </w:t>
      </w:r>
      <w:r w:rsidRPr="002F20FC">
        <w:rPr>
          <w:rFonts w:ascii="Times New Roman" w:hAnsi="Times New Roman" w:cs="Times New Roman"/>
          <w:sz w:val="28"/>
          <w:szCs w:val="28"/>
          <w:shd w:val="clear" w:color="auto" w:fill="FFFFFF"/>
        </w:rPr>
        <w:t>«Крепость», 1867г. (с.Арани, Хунзахского района). Также Агентством выдано разрешение на разработку проектной документации на объект культурного наследия «Минарет» (с.Шиназ).</w:t>
      </w:r>
    </w:p>
    <w:p w:rsidR="003372E6" w:rsidRPr="002F20FC" w:rsidRDefault="003372E6" w:rsidP="000F3959">
      <w:pPr>
        <w:shd w:val="clear" w:color="auto" w:fill="FFFFFF"/>
        <w:spacing w:after="0" w:line="240" w:lineRule="auto"/>
        <w:ind w:firstLine="709"/>
        <w:jc w:val="both"/>
        <w:rPr>
          <w:rStyle w:val="Strong"/>
          <w:rFonts w:ascii="Times New Roman" w:hAnsi="Times New Roman" w:cs="Times New Roman"/>
          <w:sz w:val="28"/>
          <w:szCs w:val="28"/>
        </w:rPr>
      </w:pPr>
    </w:p>
    <w:p w:rsidR="003372E6" w:rsidRPr="002F20FC" w:rsidRDefault="003372E6" w:rsidP="000F3959">
      <w:pPr>
        <w:shd w:val="clear" w:color="auto" w:fill="FFFFFF"/>
        <w:spacing w:after="0" w:line="240" w:lineRule="auto"/>
        <w:ind w:firstLine="709"/>
        <w:jc w:val="both"/>
        <w:rPr>
          <w:rStyle w:val="Strong"/>
          <w:rFonts w:ascii="Times New Roman" w:hAnsi="Times New Roman" w:cs="Times New Roman"/>
          <w:sz w:val="28"/>
          <w:szCs w:val="28"/>
        </w:rPr>
      </w:pPr>
      <w:r w:rsidRPr="002F20FC">
        <w:rPr>
          <w:rStyle w:val="Strong"/>
          <w:rFonts w:ascii="Times New Roman" w:hAnsi="Times New Roman" w:cs="Times New Roman"/>
          <w:sz w:val="28"/>
          <w:szCs w:val="28"/>
        </w:rPr>
        <w:t>Проблемные вопросы, требующие решения:</w:t>
      </w:r>
    </w:p>
    <w:p w:rsidR="003372E6" w:rsidRPr="002F20FC" w:rsidRDefault="003372E6" w:rsidP="000F3959">
      <w:pPr>
        <w:shd w:val="clear" w:color="auto" w:fill="FFFFFF"/>
        <w:spacing w:after="0" w:line="240" w:lineRule="auto"/>
        <w:ind w:firstLine="709"/>
        <w:jc w:val="both"/>
        <w:rPr>
          <w:rFonts w:ascii="Times New Roman" w:hAnsi="Times New Roman" w:cs="Times New Roman"/>
          <w:sz w:val="28"/>
          <w:szCs w:val="28"/>
        </w:rPr>
      </w:pPr>
      <w:r w:rsidRPr="002F20FC">
        <w:rPr>
          <w:rStyle w:val="Strong"/>
          <w:rFonts w:ascii="Times New Roman" w:hAnsi="Times New Roman" w:cs="Times New Roman"/>
          <w:sz w:val="28"/>
          <w:szCs w:val="28"/>
        </w:rPr>
        <w:t xml:space="preserve">- </w:t>
      </w:r>
      <w:r w:rsidRPr="002F20FC">
        <w:rPr>
          <w:rStyle w:val="Strong"/>
          <w:rFonts w:ascii="Times New Roman" w:hAnsi="Times New Roman" w:cs="Times New Roman"/>
          <w:b w:val="0"/>
          <w:bCs w:val="0"/>
          <w:sz w:val="28"/>
          <w:szCs w:val="28"/>
        </w:rPr>
        <w:t>нехватка штатных единиц, осуществляющих полномочия</w:t>
      </w:r>
      <w:r>
        <w:rPr>
          <w:rStyle w:val="Strong"/>
          <w:rFonts w:ascii="Times New Roman" w:hAnsi="Times New Roman" w:cs="Times New Roman"/>
          <w:b w:val="0"/>
          <w:bCs w:val="0"/>
          <w:sz w:val="28"/>
          <w:szCs w:val="28"/>
        </w:rPr>
        <w:t xml:space="preserve"> </w:t>
      </w:r>
      <w:r w:rsidRPr="002F20FC">
        <w:rPr>
          <w:rFonts w:ascii="Times New Roman" w:hAnsi="Times New Roman" w:cs="Times New Roman"/>
          <w:sz w:val="28"/>
          <w:szCs w:val="28"/>
        </w:rPr>
        <w:t xml:space="preserve">за счет средств республиканского бюджета. На 4289 ОКН регионального значения в штате Агентства предусмотрено 10 единиц, что в 4 раза меньше расчетных показателей (для сравнения за счет средств федерального бюджета выделено 19,7 штатных единиц для осуществления </w:t>
      </w:r>
      <w:r w:rsidRPr="002F20FC">
        <w:rPr>
          <w:rStyle w:val="Strong"/>
          <w:rFonts w:ascii="Times New Roman" w:hAnsi="Times New Roman" w:cs="Times New Roman"/>
          <w:b w:val="0"/>
          <w:bCs w:val="0"/>
          <w:sz w:val="28"/>
          <w:szCs w:val="28"/>
        </w:rPr>
        <w:t>полномочий по государственной охране,</w:t>
      </w:r>
      <w:r>
        <w:rPr>
          <w:rStyle w:val="Strong"/>
          <w:rFonts w:ascii="Times New Roman" w:hAnsi="Times New Roman" w:cs="Times New Roman"/>
          <w:b w:val="0"/>
          <w:bCs w:val="0"/>
          <w:sz w:val="28"/>
          <w:szCs w:val="28"/>
        </w:rPr>
        <w:t xml:space="preserve"> </w:t>
      </w:r>
      <w:r w:rsidRPr="002F20FC">
        <w:rPr>
          <w:rFonts w:ascii="Times New Roman" w:hAnsi="Times New Roman" w:cs="Times New Roman"/>
          <w:sz w:val="28"/>
          <w:szCs w:val="28"/>
        </w:rPr>
        <w:t xml:space="preserve">сохранению, использованию, популяризации 1951 ОКН федерального значения). Решение: увеличение штатной численности работников Агентства, </w:t>
      </w:r>
      <w:r w:rsidRPr="002F20FC">
        <w:rPr>
          <w:rStyle w:val="Strong"/>
          <w:rFonts w:ascii="Times New Roman" w:hAnsi="Times New Roman" w:cs="Times New Roman"/>
          <w:b w:val="0"/>
          <w:bCs w:val="0"/>
          <w:sz w:val="28"/>
          <w:szCs w:val="28"/>
        </w:rPr>
        <w:t>осуществляющих полномочия</w:t>
      </w:r>
      <w:r>
        <w:rPr>
          <w:rStyle w:val="Strong"/>
          <w:rFonts w:ascii="Times New Roman" w:hAnsi="Times New Roman" w:cs="Times New Roman"/>
          <w:b w:val="0"/>
          <w:bCs w:val="0"/>
          <w:sz w:val="28"/>
          <w:szCs w:val="28"/>
        </w:rPr>
        <w:t xml:space="preserve"> </w:t>
      </w:r>
      <w:r w:rsidRPr="002F20FC">
        <w:rPr>
          <w:rFonts w:ascii="Times New Roman" w:hAnsi="Times New Roman" w:cs="Times New Roman"/>
          <w:sz w:val="28"/>
          <w:szCs w:val="28"/>
        </w:rPr>
        <w:t>за счет средств республиканского бюджета с созданием двух территориальных отделений;</w:t>
      </w:r>
    </w:p>
    <w:p w:rsidR="003372E6" w:rsidRPr="002F20FC" w:rsidRDefault="003372E6" w:rsidP="000F3959">
      <w:pPr>
        <w:spacing w:after="0" w:line="240" w:lineRule="auto"/>
        <w:ind w:firstLine="709"/>
        <w:jc w:val="both"/>
        <w:rPr>
          <w:rFonts w:ascii="Times New Roman" w:hAnsi="Times New Roman" w:cs="Times New Roman"/>
          <w:sz w:val="28"/>
          <w:szCs w:val="28"/>
        </w:rPr>
      </w:pPr>
      <w:r w:rsidRPr="002F20FC">
        <w:rPr>
          <w:rFonts w:ascii="Times New Roman" w:hAnsi="Times New Roman" w:cs="Times New Roman"/>
          <w:sz w:val="28"/>
          <w:szCs w:val="28"/>
        </w:rPr>
        <w:t>- отсутствие финансирования мероприятий по государственной охране, сохранению, использованию, популяризации объектов культурного наследия федерального значения. Средства государственной программы Республики Дагестан «Государственная охрана, сохранение, использование, популяризация объектов культурного наследия Республики Дагестан» выделяются только в отношении памятников регионального значения, что связано с позицией Министерства финансов Республики Дагестан, которое считает, что в соответствии с абзацем 6 пункта 1 и пунктом 4 статьи 85 Бюджетного кодекса Российской Федерации использование собственных средств республиканского бюджета на осуществление переданных полномочий не представляется возможным. Решение – участие в государственной программе «Развитие культуры»;</w:t>
      </w:r>
    </w:p>
    <w:p w:rsidR="003372E6" w:rsidRPr="002F20FC" w:rsidRDefault="003372E6" w:rsidP="000F3959">
      <w:pPr>
        <w:pStyle w:val="formattexttopleveltextindenttext"/>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2F20FC">
        <w:rPr>
          <w:rFonts w:ascii="Times New Roman" w:hAnsi="Times New Roman" w:cs="Times New Roman"/>
          <w:sz w:val="28"/>
          <w:szCs w:val="28"/>
        </w:rPr>
        <w:t>- отсутствие собственников у большинства ОКН, значительно препятствует государственным органам охраны осуществлять результативные надзорные мероприятия, направленные на выявление, пресечение, предупреждение и профилактику случаев нарушений законодательства Российской Федерации об охране объектов культурного наследия, также делает невозможным заключение охранного обязательства, являющегося важной составляющей по сохранению ОКН. Решение: проведение работы по регистрации объектов недвижимости, являющихся ОКН, за фактическими собственниками, а также принятие бесхозяйных ОКН в муниципальную или республиканскую собственность,  в первую очередь в зонах развития туристической отрасли, с целью вовлечения объектов в проекты в рамках государственно-частного партнерства;</w:t>
      </w:r>
    </w:p>
    <w:p w:rsidR="003372E6" w:rsidRPr="002F20FC" w:rsidRDefault="003372E6" w:rsidP="000F3959">
      <w:pPr>
        <w:pStyle w:val="formattexttopleveltextindenttext"/>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2F20FC">
        <w:rPr>
          <w:rFonts w:ascii="Times New Roman" w:hAnsi="Times New Roman" w:cs="Times New Roman"/>
          <w:sz w:val="28"/>
          <w:szCs w:val="28"/>
        </w:rPr>
        <w:t>- критическое состояние многих памятников. Работы по сохранению (реставрации и консервации) ОКН ведутся в отношении единиц памятников. Решение: успешная реализация государственной программы Республики Дагестан «Государственная охрана, сохранение, использование, популяризация объектов культурного наследия Республики Дагестан», участие в государственной программе «Развитие культуры»;</w:t>
      </w:r>
    </w:p>
    <w:p w:rsidR="003372E6" w:rsidRPr="002F20FC" w:rsidRDefault="003372E6" w:rsidP="000F3959">
      <w:pPr>
        <w:pStyle w:val="formattexttopleveltextindenttext"/>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2F20FC">
        <w:rPr>
          <w:rFonts w:ascii="Times New Roman" w:hAnsi="Times New Roman" w:cs="Times New Roman"/>
          <w:sz w:val="28"/>
          <w:szCs w:val="28"/>
        </w:rPr>
        <w:t>- утрата своеобразия историко-архитектурного облика в связи с интенсивным хозяйственным освоением исторических территорий. Решение: установление зон охраны объектов культурного наследия, требований к режиму использования земель и градостроительным регламентам в границах данных зон для обеспечения сохранности ОКН в их исторической градостроительной и природной среде,</w:t>
      </w:r>
      <w:bookmarkStart w:id="0" w:name="_GoBack"/>
      <w:bookmarkEnd w:id="0"/>
      <w:r w:rsidRPr="002F20FC">
        <w:rPr>
          <w:rFonts w:ascii="Times New Roman" w:hAnsi="Times New Roman" w:cs="Times New Roman"/>
          <w:sz w:val="28"/>
          <w:szCs w:val="28"/>
        </w:rPr>
        <w:t xml:space="preserve"> прежде всего в зонах активного строительства – городах Республики Дагестан.</w:t>
      </w:r>
    </w:p>
    <w:p w:rsidR="003372E6" w:rsidRPr="002F20FC" w:rsidRDefault="003372E6" w:rsidP="000F3959">
      <w:pPr>
        <w:tabs>
          <w:tab w:val="left" w:pos="5505"/>
        </w:tabs>
        <w:spacing w:after="0" w:line="240" w:lineRule="auto"/>
        <w:ind w:firstLine="709"/>
        <w:jc w:val="both"/>
        <w:rPr>
          <w:rFonts w:ascii="Times New Roman" w:hAnsi="Times New Roman" w:cs="Times New Roman"/>
          <w:sz w:val="28"/>
          <w:szCs w:val="28"/>
        </w:rPr>
      </w:pPr>
    </w:p>
    <w:p w:rsidR="003372E6" w:rsidRPr="002F20FC" w:rsidRDefault="003372E6" w:rsidP="000F3959">
      <w:pPr>
        <w:spacing w:after="0" w:line="240" w:lineRule="auto"/>
        <w:ind w:firstLine="709"/>
        <w:jc w:val="both"/>
        <w:rPr>
          <w:rFonts w:ascii="Times New Roman" w:hAnsi="Times New Roman" w:cs="Times New Roman"/>
          <w:sz w:val="28"/>
          <w:szCs w:val="28"/>
          <w:shd w:val="clear" w:color="auto" w:fill="FFFFFF"/>
        </w:rPr>
      </w:pPr>
    </w:p>
    <w:p w:rsidR="003372E6" w:rsidRPr="002F20FC" w:rsidRDefault="003372E6" w:rsidP="000F3959">
      <w:pPr>
        <w:spacing w:after="0" w:line="240" w:lineRule="auto"/>
        <w:ind w:firstLine="709"/>
        <w:jc w:val="both"/>
        <w:rPr>
          <w:rFonts w:ascii="Times New Roman" w:hAnsi="Times New Roman" w:cs="Times New Roman"/>
          <w:sz w:val="28"/>
          <w:szCs w:val="28"/>
        </w:rPr>
      </w:pPr>
    </w:p>
    <w:p w:rsidR="003372E6" w:rsidRPr="002F20FC" w:rsidRDefault="003372E6" w:rsidP="000F3959">
      <w:pPr>
        <w:spacing w:after="0" w:line="240" w:lineRule="auto"/>
        <w:ind w:firstLine="709"/>
        <w:jc w:val="both"/>
        <w:rPr>
          <w:rFonts w:ascii="Times New Roman" w:hAnsi="Times New Roman" w:cs="Times New Roman"/>
          <w:sz w:val="28"/>
          <w:szCs w:val="28"/>
        </w:rPr>
      </w:pPr>
    </w:p>
    <w:sectPr w:rsidR="003372E6" w:rsidRPr="002F20FC" w:rsidSect="001F7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7255"/>
    <w:multiLevelType w:val="hybridMultilevel"/>
    <w:tmpl w:val="C308B260"/>
    <w:lvl w:ilvl="0" w:tplc="DCAC5268">
      <w:numFmt w:val="bullet"/>
      <w:lvlText w:val="-"/>
      <w:lvlJc w:val="left"/>
      <w:pPr>
        <w:tabs>
          <w:tab w:val="num" w:pos="899"/>
        </w:tabs>
        <w:ind w:left="899" w:hanging="360"/>
      </w:pPr>
      <w:rPr>
        <w:rFonts w:ascii="Times New Roman" w:eastAsia="Times New Roman" w:hAnsi="Times New Roman" w:hint="default"/>
      </w:rPr>
    </w:lvl>
    <w:lvl w:ilvl="1" w:tplc="04190003">
      <w:start w:val="1"/>
      <w:numFmt w:val="bullet"/>
      <w:lvlText w:val="o"/>
      <w:lvlJc w:val="left"/>
      <w:pPr>
        <w:tabs>
          <w:tab w:val="num" w:pos="1619"/>
        </w:tabs>
        <w:ind w:left="1619" w:hanging="360"/>
      </w:pPr>
      <w:rPr>
        <w:rFonts w:ascii="Courier New" w:hAnsi="Courier New" w:hint="default"/>
      </w:rPr>
    </w:lvl>
    <w:lvl w:ilvl="2" w:tplc="04190005">
      <w:start w:val="1"/>
      <w:numFmt w:val="bullet"/>
      <w:lvlText w:val=""/>
      <w:lvlJc w:val="left"/>
      <w:pPr>
        <w:tabs>
          <w:tab w:val="num" w:pos="2339"/>
        </w:tabs>
        <w:ind w:left="2339" w:hanging="360"/>
      </w:pPr>
      <w:rPr>
        <w:rFonts w:ascii="Wingdings" w:hAnsi="Wingdings" w:cs="Wingdings" w:hint="default"/>
      </w:rPr>
    </w:lvl>
    <w:lvl w:ilvl="3" w:tplc="04190001">
      <w:start w:val="1"/>
      <w:numFmt w:val="bullet"/>
      <w:lvlText w:val=""/>
      <w:lvlJc w:val="left"/>
      <w:pPr>
        <w:tabs>
          <w:tab w:val="num" w:pos="3059"/>
        </w:tabs>
        <w:ind w:left="3059" w:hanging="360"/>
      </w:pPr>
      <w:rPr>
        <w:rFonts w:ascii="Symbol" w:hAnsi="Symbol" w:cs="Symbol" w:hint="default"/>
      </w:rPr>
    </w:lvl>
    <w:lvl w:ilvl="4" w:tplc="04190003">
      <w:start w:val="1"/>
      <w:numFmt w:val="bullet"/>
      <w:lvlText w:val="o"/>
      <w:lvlJc w:val="left"/>
      <w:pPr>
        <w:tabs>
          <w:tab w:val="num" w:pos="3779"/>
        </w:tabs>
        <w:ind w:left="3779" w:hanging="360"/>
      </w:pPr>
      <w:rPr>
        <w:rFonts w:ascii="Courier New" w:hAnsi="Courier New" w:cs="Courier New" w:hint="default"/>
      </w:rPr>
    </w:lvl>
    <w:lvl w:ilvl="5" w:tplc="04190005">
      <w:start w:val="1"/>
      <w:numFmt w:val="bullet"/>
      <w:lvlText w:val=""/>
      <w:lvlJc w:val="left"/>
      <w:pPr>
        <w:tabs>
          <w:tab w:val="num" w:pos="4499"/>
        </w:tabs>
        <w:ind w:left="4499" w:hanging="360"/>
      </w:pPr>
      <w:rPr>
        <w:rFonts w:ascii="Wingdings" w:hAnsi="Wingdings" w:cs="Wingdings" w:hint="default"/>
      </w:rPr>
    </w:lvl>
    <w:lvl w:ilvl="6" w:tplc="04190001">
      <w:start w:val="1"/>
      <w:numFmt w:val="bullet"/>
      <w:lvlText w:val=""/>
      <w:lvlJc w:val="left"/>
      <w:pPr>
        <w:tabs>
          <w:tab w:val="num" w:pos="5219"/>
        </w:tabs>
        <w:ind w:left="5219" w:hanging="360"/>
      </w:pPr>
      <w:rPr>
        <w:rFonts w:ascii="Symbol" w:hAnsi="Symbol" w:cs="Symbol" w:hint="default"/>
      </w:rPr>
    </w:lvl>
    <w:lvl w:ilvl="7" w:tplc="04190003">
      <w:start w:val="1"/>
      <w:numFmt w:val="bullet"/>
      <w:lvlText w:val="o"/>
      <w:lvlJc w:val="left"/>
      <w:pPr>
        <w:tabs>
          <w:tab w:val="num" w:pos="5939"/>
        </w:tabs>
        <w:ind w:left="5939" w:hanging="360"/>
      </w:pPr>
      <w:rPr>
        <w:rFonts w:ascii="Courier New" w:hAnsi="Courier New" w:cs="Courier New" w:hint="default"/>
      </w:rPr>
    </w:lvl>
    <w:lvl w:ilvl="8" w:tplc="04190005">
      <w:start w:val="1"/>
      <w:numFmt w:val="bullet"/>
      <w:lvlText w:val=""/>
      <w:lvlJc w:val="left"/>
      <w:pPr>
        <w:tabs>
          <w:tab w:val="num" w:pos="6659"/>
        </w:tabs>
        <w:ind w:left="6659"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A22"/>
    <w:rsid w:val="00045BE3"/>
    <w:rsid w:val="00064425"/>
    <w:rsid w:val="000F3959"/>
    <w:rsid w:val="001F7FC8"/>
    <w:rsid w:val="002F20FC"/>
    <w:rsid w:val="003372E6"/>
    <w:rsid w:val="00377AEB"/>
    <w:rsid w:val="00455946"/>
    <w:rsid w:val="00457A22"/>
    <w:rsid w:val="004967B5"/>
    <w:rsid w:val="004A2340"/>
    <w:rsid w:val="004E49F6"/>
    <w:rsid w:val="005B283C"/>
    <w:rsid w:val="0063391C"/>
    <w:rsid w:val="007149B4"/>
    <w:rsid w:val="00751BA4"/>
    <w:rsid w:val="00770CB2"/>
    <w:rsid w:val="007C400B"/>
    <w:rsid w:val="00825B2F"/>
    <w:rsid w:val="009B162D"/>
    <w:rsid w:val="009C7301"/>
    <w:rsid w:val="00A57271"/>
    <w:rsid w:val="00A65DDA"/>
    <w:rsid w:val="00D529E1"/>
    <w:rsid w:val="00E42B64"/>
    <w:rsid w:val="00F04E3B"/>
    <w:rsid w:val="00F91983"/>
    <w:rsid w:val="00FC6B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2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caption">
    <w:name w:val="doccaption"/>
    <w:basedOn w:val="DefaultParagraphFont"/>
    <w:uiPriority w:val="99"/>
    <w:rsid w:val="00457A22"/>
  </w:style>
  <w:style w:type="paragraph" w:customStyle="1" w:styleId="228bf8a64b8551e1msonormal">
    <w:name w:val="228bf8a64b8551e1msonormal"/>
    <w:basedOn w:val="Normal"/>
    <w:uiPriority w:val="99"/>
    <w:rsid w:val="00457A22"/>
    <w:pPr>
      <w:spacing w:before="100" w:beforeAutospacing="1" w:after="100" w:afterAutospacing="1" w:line="240" w:lineRule="auto"/>
    </w:pPr>
    <w:rPr>
      <w:sz w:val="24"/>
      <w:szCs w:val="24"/>
    </w:rPr>
  </w:style>
  <w:style w:type="character" w:styleId="Strong">
    <w:name w:val="Strong"/>
    <w:basedOn w:val="DefaultParagraphFont"/>
    <w:uiPriority w:val="99"/>
    <w:qFormat/>
    <w:rsid w:val="000F3959"/>
    <w:rPr>
      <w:b/>
      <w:bCs/>
    </w:rPr>
  </w:style>
  <w:style w:type="paragraph" w:customStyle="1" w:styleId="formattexttopleveltextindenttext">
    <w:name w:val="formattext topleveltext indenttext"/>
    <w:basedOn w:val="Normal"/>
    <w:uiPriority w:val="99"/>
    <w:rsid w:val="000F395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5</Pages>
  <Words>1938</Words>
  <Characters>11049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БАГАВДИН</cp:lastModifiedBy>
  <cp:revision>11</cp:revision>
  <dcterms:created xsi:type="dcterms:W3CDTF">2022-04-18T14:31:00Z</dcterms:created>
  <dcterms:modified xsi:type="dcterms:W3CDTF">2022-04-29T13:03:00Z</dcterms:modified>
</cp:coreProperties>
</file>