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CF" w:rsidRDefault="00966DCF" w:rsidP="00966DCF">
      <w:pPr>
        <w:ind w:right="355"/>
        <w:jc w:val="center"/>
      </w:pPr>
      <w:r>
        <w:rPr>
          <w:noProof/>
          <w:lang w:eastAsia="ru-RU"/>
        </w:rPr>
        <w:drawing>
          <wp:inline distT="0" distB="0" distL="0" distR="0" wp14:anchorId="156BCB6F" wp14:editId="63680B35">
            <wp:extent cx="9715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DCF" w:rsidRDefault="00966DCF" w:rsidP="00966DCF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966DCF" w:rsidRDefault="00966DCF" w:rsidP="00966DCF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966DCF" w:rsidRDefault="00966DCF" w:rsidP="00966DCF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(Дагнаследие)</w:t>
      </w:r>
    </w:p>
    <w:p w:rsidR="00966DCF" w:rsidRDefault="00966DCF" w:rsidP="00966DCF">
      <w:pPr>
        <w:ind w:left="-180"/>
      </w:pPr>
    </w:p>
    <w:p w:rsidR="00966DCF" w:rsidRDefault="00966DCF" w:rsidP="00966DCF">
      <w:pPr>
        <w:ind w:left="-180"/>
        <w:rPr>
          <w:color w:val="0000FF"/>
          <w:sz w:val="4"/>
          <w:szCs w:val="4"/>
        </w:rPr>
      </w:pPr>
      <w:r>
        <w:t xml:space="preserve">367031, г. Махачкала, ул. Гусейнова, д.26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hyperlink r:id="rId7" w:history="1">
        <w:proofErr w:type="spellStart"/>
        <w:r>
          <w:rPr>
            <w:rStyle w:val="a3"/>
            <w:u w:val="none"/>
            <w:lang w:val="en-US"/>
          </w:rPr>
          <w:t>dagnasledie</w:t>
        </w:r>
        <w:proofErr w:type="spellEnd"/>
        <w:r>
          <w:rPr>
            <w:rStyle w:val="a3"/>
            <w:u w:val="none"/>
          </w:rPr>
          <w:t xml:space="preserve">@ </w:t>
        </w:r>
        <w:r>
          <w:rPr>
            <w:rStyle w:val="a3"/>
            <w:u w:val="none"/>
            <w:lang w:val="en-US"/>
          </w:rPr>
          <w:t>e</w:t>
        </w:r>
        <w:r>
          <w:rPr>
            <w:rStyle w:val="a3"/>
            <w:u w:val="none"/>
          </w:rPr>
          <w:t>-</w:t>
        </w:r>
        <w:r>
          <w:rPr>
            <w:rStyle w:val="a3"/>
            <w:u w:val="none"/>
            <w:lang w:val="en-US"/>
          </w:rPr>
          <w:t>dag</w:t>
        </w:r>
        <w:r>
          <w:rPr>
            <w:rStyle w:val="a3"/>
            <w:u w:val="none"/>
          </w:rPr>
          <w:t>.</w:t>
        </w:r>
        <w:proofErr w:type="spellStart"/>
        <w:r>
          <w:rPr>
            <w:rStyle w:val="a3"/>
            <w:u w:val="none"/>
            <w:lang w:val="en-US"/>
          </w:rPr>
          <w:t>ru</w:t>
        </w:r>
        <w:proofErr w:type="spellEnd"/>
      </w:hyperlink>
      <w:r>
        <w:t>, тел.(8722) 69-21-10</w:t>
      </w:r>
    </w:p>
    <w:p w:rsidR="00966DCF" w:rsidRDefault="00966DCF" w:rsidP="00966DCF">
      <w:pPr>
        <w:ind w:right="-5"/>
        <w:jc w:val="center"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82DEB3" wp14:editId="1CA648D4">
                <wp:simplePos x="0" y="0"/>
                <wp:positionH relativeFrom="column">
                  <wp:posOffset>-184785</wp:posOffset>
                </wp:positionH>
                <wp:positionV relativeFrom="paragraph">
                  <wp:posOffset>38100</wp:posOffset>
                </wp:positionV>
                <wp:extent cx="62769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55pt,3pt" to="47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966DCF" w:rsidRDefault="00966DCF" w:rsidP="00966DCF">
      <w:pPr>
        <w:ind w:left="567"/>
        <w:rPr>
          <w:b/>
          <w:sz w:val="28"/>
          <w:szCs w:val="28"/>
        </w:rPr>
      </w:pPr>
    </w:p>
    <w:p w:rsidR="00966DCF" w:rsidRDefault="00966DCF" w:rsidP="00966DCF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ЗАКЛЮЧЕНИЕ</w:t>
      </w:r>
      <w:bookmarkStart w:id="0" w:name="bookmark1"/>
    </w:p>
    <w:p w:rsidR="00966DCF" w:rsidRDefault="00966DCF" w:rsidP="00966DCF">
      <w:pPr>
        <w:ind w:left="567"/>
        <w:jc w:val="center"/>
        <w:rPr>
          <w:b/>
          <w:sz w:val="28"/>
          <w:szCs w:val="28"/>
        </w:rPr>
      </w:pPr>
    </w:p>
    <w:p w:rsidR="00966DCF" w:rsidRDefault="00966DCF" w:rsidP="00966DCF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№</w:t>
      </w:r>
      <w:bookmarkEnd w:id="0"/>
      <w:r>
        <w:rPr>
          <w:b/>
          <w:sz w:val="28"/>
          <w:szCs w:val="28"/>
        </w:rPr>
        <w:t>_______ /24      от   ___ . ____________   2024 г.</w:t>
      </w:r>
    </w:p>
    <w:p w:rsidR="00966DCF" w:rsidRDefault="00966DCF" w:rsidP="00966D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рассмотрения заключения Акта государственной историко-культурной экспертизы в соответствии с Федеральным законом от 25.06.2002 № 73-ФЗ «Об объектах культурного наследия (памятниках истории и культуры) народов Российской Федерации.</w:t>
      </w:r>
    </w:p>
    <w:p w:rsidR="00966DCF" w:rsidRDefault="00966DCF" w:rsidP="00966DCF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966DCF" w:rsidRDefault="00966DCF" w:rsidP="00966DC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Предмет рассмотрения:</w:t>
      </w:r>
    </w:p>
    <w:p w:rsidR="00966DCF" w:rsidRDefault="00966DCF" w:rsidP="00966DCF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36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>Обращение ГБУ «Республиканский центр охраны памятников истории, культуры и архитектуры» от 24.07.2024 г. № 74 о рассмотрении Акта</w:t>
      </w:r>
      <w:r>
        <w:rPr>
          <w:sz w:val="28"/>
          <w:szCs w:val="28"/>
        </w:rPr>
        <w:t xml:space="preserve"> государственной историко-культурной экспертизы выявленного объекта культурного наследия </w:t>
      </w:r>
      <w:bookmarkStart w:id="1" w:name="_Hlk137792321"/>
      <w:r w:rsidRPr="003D2484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«Могила «Августина Петровича </w:t>
      </w:r>
      <w:proofErr w:type="spellStart"/>
      <w:r w:rsidRPr="003D2484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Скрабе</w:t>
      </w:r>
      <w:proofErr w:type="spellEnd"/>
      <w:r w:rsidRPr="003D2484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 xml:space="preserve"> (1877-1950 гг.)»</w:t>
      </w:r>
      <w:r>
        <w:rPr>
          <w:sz w:val="28"/>
          <w:szCs w:val="28"/>
        </w:rPr>
        <w:t xml:space="preserve">, расположенного по адресу: </w:t>
      </w:r>
      <w:bookmarkEnd w:id="1"/>
      <w:r w:rsidRPr="003D2484">
        <w:rPr>
          <w:rFonts w:eastAsia="Songti SC"/>
          <w:kern w:val="2"/>
          <w:sz w:val="28"/>
          <w:szCs w:val="28"/>
          <w:shd w:val="clear" w:color="auto" w:fill="FFFFFF"/>
          <w:lang w:val="x-none" w:bidi="hi-IN"/>
        </w:rPr>
        <w:t>Республика Дагестан, г. Буйнакск, территория христианского кладбища</w:t>
      </w:r>
      <w:r>
        <w:rPr>
          <w:sz w:val="28"/>
          <w:szCs w:val="28"/>
        </w:rPr>
        <w:t>,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966DCF" w:rsidRPr="002A20FF" w:rsidRDefault="00966DCF" w:rsidP="002A20FF">
      <w:pPr>
        <w:pStyle w:val="a4"/>
        <w:numPr>
          <w:ilvl w:val="0"/>
          <w:numId w:val="1"/>
        </w:numPr>
        <w:ind w:left="0" w:firstLine="426"/>
        <w:jc w:val="both"/>
        <w:rPr>
          <w:rFonts w:eastAsiaTheme="minorHAnsi"/>
          <w:sz w:val="28"/>
          <w:szCs w:val="28"/>
        </w:rPr>
      </w:pPr>
      <w:r w:rsidRPr="002A20FF">
        <w:rPr>
          <w:sz w:val="28"/>
          <w:szCs w:val="28"/>
        </w:rPr>
        <w:t xml:space="preserve">Акт государственной историко-культурной экспертизы от 23.07.2024 г. выявленного объекта культурного наследия </w:t>
      </w:r>
      <w:r w:rsidRPr="002A20FF">
        <w:rPr>
          <w:rFonts w:eastAsia="Songti SC"/>
          <w:sz w:val="28"/>
          <w:szCs w:val="28"/>
        </w:rPr>
        <w:t xml:space="preserve">«Могила «Августина Петровича </w:t>
      </w:r>
      <w:proofErr w:type="spellStart"/>
      <w:r w:rsidRPr="002A20FF">
        <w:rPr>
          <w:rFonts w:eastAsia="Songti SC"/>
          <w:sz w:val="28"/>
          <w:szCs w:val="28"/>
        </w:rPr>
        <w:t>Скрабе</w:t>
      </w:r>
      <w:proofErr w:type="spellEnd"/>
      <w:r w:rsidRPr="002A20FF">
        <w:rPr>
          <w:rFonts w:eastAsia="Songti SC"/>
          <w:sz w:val="28"/>
          <w:szCs w:val="28"/>
        </w:rPr>
        <w:t xml:space="preserve"> (1877-1950 гг.)»</w:t>
      </w:r>
      <w:r w:rsidRPr="002A20FF">
        <w:rPr>
          <w:sz w:val="28"/>
          <w:szCs w:val="28"/>
        </w:rPr>
        <w:t>, (далее – Объект), расположенный</w:t>
      </w:r>
      <w:r w:rsidRPr="002A20FF">
        <w:rPr>
          <w:sz w:val="28"/>
          <w:szCs w:val="28"/>
        </w:rPr>
        <w:tab/>
        <w:t xml:space="preserve"> по адресу: </w:t>
      </w:r>
      <w:r w:rsidRPr="002A20FF">
        <w:rPr>
          <w:rFonts w:eastAsia="Songti SC"/>
          <w:sz w:val="28"/>
          <w:szCs w:val="28"/>
        </w:rPr>
        <w:t>Республика Дагестан, г. Буйнакск, территория христианского кладбища</w:t>
      </w:r>
      <w:r w:rsidRPr="002A20FF">
        <w:rPr>
          <w:sz w:val="28"/>
          <w:szCs w:val="28"/>
        </w:rPr>
        <w:t>,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Федерации,</w:t>
      </w:r>
      <w:r w:rsidRPr="002A20FF">
        <w:rPr>
          <w:rFonts w:eastAsiaTheme="minorHAnsi"/>
          <w:sz w:val="28"/>
          <w:szCs w:val="28"/>
        </w:rPr>
        <w:t xml:space="preserve"> </w:t>
      </w:r>
      <w:r w:rsidRPr="002A20FF">
        <w:rPr>
          <w:sz w:val="28"/>
          <w:szCs w:val="28"/>
        </w:rPr>
        <w:t xml:space="preserve">представленный аттестованным государственным экспертом по проведению государственной историко-культурной экспертизы </w:t>
      </w:r>
      <w:proofErr w:type="spellStart"/>
      <w:r w:rsidRPr="002A20FF">
        <w:rPr>
          <w:rFonts w:eastAsiaTheme="minorHAnsi"/>
          <w:sz w:val="28"/>
          <w:szCs w:val="28"/>
        </w:rPr>
        <w:t>Шумилкиным</w:t>
      </w:r>
      <w:proofErr w:type="spellEnd"/>
      <w:r w:rsidRPr="002A20FF">
        <w:rPr>
          <w:rFonts w:eastAsiaTheme="minorHAnsi"/>
          <w:sz w:val="28"/>
          <w:szCs w:val="28"/>
        </w:rPr>
        <w:t xml:space="preserve"> Александром Сергеевичем</w:t>
      </w:r>
      <w:r w:rsidRPr="002A20FF">
        <w:rPr>
          <w:sz w:val="28"/>
          <w:szCs w:val="28"/>
        </w:rPr>
        <w:t xml:space="preserve"> (</w:t>
      </w:r>
      <w:r w:rsidRPr="002A20FF">
        <w:rPr>
          <w:rFonts w:eastAsiaTheme="minorHAnsi"/>
          <w:sz w:val="28"/>
          <w:szCs w:val="28"/>
        </w:rPr>
        <w:t>Приказ Министерства культуры Российской Федерации от 16.12.2021 г. № 2139)</w:t>
      </w:r>
      <w:r w:rsidRPr="002A20FF">
        <w:rPr>
          <w:sz w:val="28"/>
          <w:szCs w:val="28"/>
        </w:rPr>
        <w:t>.</w:t>
      </w:r>
    </w:p>
    <w:p w:rsidR="00966DCF" w:rsidRDefault="00966DCF" w:rsidP="00966DCF">
      <w:pPr>
        <w:autoSpaceDE w:val="0"/>
        <w:autoSpaceDN w:val="0"/>
        <w:adjustRightInd w:val="0"/>
        <w:ind w:left="360" w:firstLine="349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</w:rPr>
        <w:t xml:space="preserve">Требования: </w:t>
      </w:r>
    </w:p>
    <w:p w:rsidR="00966DCF" w:rsidRDefault="00966DCF" w:rsidP="00966DCF">
      <w:pPr>
        <w:tabs>
          <w:tab w:val="left" w:pos="709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В соответствии с требованиями </w:t>
      </w:r>
      <w:r>
        <w:rPr>
          <w:sz w:val="28"/>
          <w:szCs w:val="28"/>
        </w:rPr>
        <w:t xml:space="preserve">Федерального закона от 25.06.2002 г. № 73-ФЗ «Об объектах культурного наследия (памятниках истории и культуры) народов Российской Федерации» и Постановлением Правительства Российской Федерации от 15 июля 2009 г. № 569 «Об </w:t>
      </w:r>
      <w:r>
        <w:rPr>
          <w:sz w:val="28"/>
          <w:szCs w:val="28"/>
        </w:rPr>
        <w:lastRenderedPageBreak/>
        <w:t>утверждении Положения о государственной историко-культурной экспертизе».</w:t>
      </w:r>
    </w:p>
    <w:p w:rsidR="00966DCF" w:rsidRDefault="00966DCF" w:rsidP="00966DCF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ab/>
      </w:r>
      <w:r>
        <w:rPr>
          <w:b/>
          <w:bCs/>
          <w:kern w:val="2"/>
          <w:sz w:val="28"/>
          <w:szCs w:val="28"/>
        </w:rPr>
        <w:tab/>
        <w:t>Выводы:</w:t>
      </w:r>
    </w:p>
    <w:p w:rsidR="00966DCF" w:rsidRDefault="002A20FF" w:rsidP="00966D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2484">
        <w:rPr>
          <w:sz w:val="28"/>
          <w:szCs w:val="28"/>
        </w:rPr>
        <w:t>Рассматриваемый Объект имеет историческую (мемориальную) ценность, как одиночное захоронение</w:t>
      </w:r>
      <w:r>
        <w:rPr>
          <w:sz w:val="28"/>
          <w:szCs w:val="28"/>
        </w:rPr>
        <w:t>, относяще</w:t>
      </w:r>
      <w:r w:rsidRPr="003D2484">
        <w:rPr>
          <w:sz w:val="28"/>
          <w:szCs w:val="28"/>
        </w:rPr>
        <w:t xml:space="preserve">еся к исторической личности </w:t>
      </w:r>
      <w:r>
        <w:rPr>
          <w:sz w:val="28"/>
          <w:szCs w:val="28"/>
        </w:rPr>
        <w:t>– Августину Петровичу</w:t>
      </w:r>
      <w:r w:rsidRPr="003D2484">
        <w:rPr>
          <w:sz w:val="28"/>
          <w:szCs w:val="28"/>
        </w:rPr>
        <w:t xml:space="preserve"> </w:t>
      </w:r>
      <w:proofErr w:type="spellStart"/>
      <w:r w:rsidRPr="003D2484">
        <w:rPr>
          <w:sz w:val="28"/>
          <w:szCs w:val="28"/>
        </w:rPr>
        <w:t>Скрабе</w:t>
      </w:r>
      <w:proofErr w:type="spellEnd"/>
      <w:r>
        <w:rPr>
          <w:sz w:val="28"/>
          <w:szCs w:val="28"/>
        </w:rPr>
        <w:t>, внесшему</w:t>
      </w:r>
      <w:r w:rsidRPr="003D2484">
        <w:rPr>
          <w:sz w:val="28"/>
          <w:szCs w:val="28"/>
        </w:rPr>
        <w:t xml:space="preserve"> большой вклад в педагогику и краеведческую науку Дагестана </w:t>
      </w:r>
      <w:r>
        <w:rPr>
          <w:sz w:val="28"/>
          <w:szCs w:val="28"/>
          <w:lang w:val="en-US"/>
        </w:rPr>
        <w:t>XX</w:t>
      </w:r>
      <w:r w:rsidRPr="003D2484">
        <w:rPr>
          <w:sz w:val="28"/>
          <w:szCs w:val="28"/>
        </w:rPr>
        <w:t xml:space="preserve"> века.</w:t>
      </w:r>
      <w:r w:rsidR="00966DCF">
        <w:rPr>
          <w:sz w:val="28"/>
          <w:szCs w:val="28"/>
        </w:rPr>
        <w:t xml:space="preserve"> </w:t>
      </w:r>
    </w:p>
    <w:p w:rsidR="00966DCF" w:rsidRDefault="00966DCF" w:rsidP="00966DC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Эксперт </w:t>
      </w:r>
      <w:proofErr w:type="spellStart"/>
      <w:r>
        <w:rPr>
          <w:sz w:val="28"/>
          <w:szCs w:val="28"/>
        </w:rPr>
        <w:t>Шумилкин</w:t>
      </w:r>
      <w:proofErr w:type="spellEnd"/>
      <w:r>
        <w:rPr>
          <w:sz w:val="28"/>
          <w:szCs w:val="28"/>
        </w:rPr>
        <w:t xml:space="preserve"> А.С. предлагает присвоить Объекту наименование </w:t>
      </w:r>
      <w:r w:rsidR="002A20FF" w:rsidRPr="002A20FF">
        <w:rPr>
          <w:b/>
          <w:sz w:val="28"/>
          <w:szCs w:val="28"/>
        </w:rPr>
        <w:t>«</w:t>
      </w:r>
      <w:r w:rsidR="002A20FF" w:rsidRPr="002A20FF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Могила Августина Петровича </w:t>
      </w:r>
      <w:proofErr w:type="spellStart"/>
      <w:r w:rsidR="002A20FF" w:rsidRPr="002A20FF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>Скрабе</w:t>
      </w:r>
      <w:proofErr w:type="spellEnd"/>
      <w:r w:rsidR="002A20FF" w:rsidRPr="002A20FF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 xml:space="preserve"> (1877-1950 гг.)</w:t>
      </w:r>
      <w:r w:rsidR="002A20FF" w:rsidRPr="002A20FF">
        <w:rPr>
          <w:rFonts w:eastAsia="Songti SC"/>
          <w:b/>
          <w:kern w:val="2"/>
          <w:sz w:val="28"/>
          <w:szCs w:val="28"/>
          <w:shd w:val="clear" w:color="auto" w:fill="FFFFFF"/>
          <w:lang w:eastAsia="zh-CN" w:bidi="hi-IN"/>
        </w:rPr>
        <w:t>»</w:t>
      </w:r>
      <w:r>
        <w:rPr>
          <w:sz w:val="28"/>
          <w:szCs w:val="28"/>
        </w:rPr>
        <w:t xml:space="preserve">, дата создания: </w:t>
      </w:r>
      <w:r w:rsidR="002A20FF" w:rsidRPr="003D2484">
        <w:rPr>
          <w:rFonts w:eastAsia="Songti SC"/>
          <w:kern w:val="2"/>
          <w:sz w:val="28"/>
          <w:szCs w:val="28"/>
          <w:shd w:val="clear" w:color="auto" w:fill="FFFFFF"/>
          <w:lang w:eastAsia="zh-CN" w:bidi="hi-IN"/>
        </w:rPr>
        <w:t>27.08.1950 г.</w:t>
      </w:r>
      <w:bookmarkStart w:id="2" w:name="_GoBack"/>
      <w:bookmarkEnd w:id="2"/>
      <w:r>
        <w:rPr>
          <w:sz w:val="28"/>
          <w:szCs w:val="28"/>
        </w:rPr>
        <w:t xml:space="preserve">, местоположение: </w:t>
      </w:r>
      <w:r w:rsidRPr="00FC6573">
        <w:rPr>
          <w:sz w:val="28"/>
          <w:szCs w:val="28"/>
        </w:rPr>
        <w:t>Республика Дагестан, г.</w:t>
      </w:r>
      <w:r>
        <w:rPr>
          <w:sz w:val="28"/>
          <w:szCs w:val="28"/>
        </w:rPr>
        <w:t xml:space="preserve"> </w:t>
      </w:r>
      <w:r w:rsidRPr="00FC6573">
        <w:rPr>
          <w:sz w:val="28"/>
          <w:szCs w:val="28"/>
        </w:rPr>
        <w:t>Буйнакск, территория христианского кладбища</w:t>
      </w:r>
      <w:r>
        <w:rPr>
          <w:sz w:val="28"/>
          <w:szCs w:val="28"/>
        </w:rPr>
        <w:t xml:space="preserve">, и начать процедуру включения Объекта в качестве объекта культурного наследия 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регионального значения, </w:t>
      </w:r>
      <w:r>
        <w:rPr>
          <w:sz w:val="28"/>
          <w:szCs w:val="28"/>
        </w:rPr>
        <w:t>памятника истории в единый государственный реестр объектов культурного наследия народов Российской Федерации.</w:t>
      </w:r>
    </w:p>
    <w:p w:rsidR="00966DCF" w:rsidRDefault="00966DCF" w:rsidP="00966DCF">
      <w:pPr>
        <w:ind w:firstLine="708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рассмотрения представленных материалов и документации, учитывая мнение эксперта </w:t>
      </w:r>
      <w:proofErr w:type="spellStart"/>
      <w:r>
        <w:rPr>
          <w:sz w:val="28"/>
          <w:szCs w:val="28"/>
        </w:rPr>
        <w:t>Шумилкина</w:t>
      </w:r>
      <w:proofErr w:type="spellEnd"/>
      <w:r>
        <w:rPr>
          <w:sz w:val="28"/>
          <w:szCs w:val="28"/>
        </w:rPr>
        <w:t xml:space="preserve"> А.С., изложенного в Акте государственной историко-культурной экспертизы от 23 июля 2024 г., Агентство по охране культурного наследия Республики Дагестан согласовывает данное решение (</w:t>
      </w:r>
      <w:r>
        <w:rPr>
          <w:b/>
          <w:sz w:val="28"/>
          <w:szCs w:val="28"/>
        </w:rPr>
        <w:t>положительное заключение</w:t>
      </w:r>
      <w:r>
        <w:rPr>
          <w:sz w:val="28"/>
          <w:szCs w:val="28"/>
        </w:rPr>
        <w:t>) и считает необходимым начать процедуру включения Объекта в качестве объекта культурного наследия регионального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значения</w:t>
      </w:r>
      <w:r>
        <w:rPr>
          <w:sz w:val="28"/>
          <w:szCs w:val="28"/>
        </w:rPr>
        <w:t xml:space="preserve"> в Единый государственный реестр объектов культурного наследия народов Российской Федерации.</w:t>
      </w:r>
      <w:proofErr w:type="gramEnd"/>
    </w:p>
    <w:p w:rsidR="00966DCF" w:rsidRDefault="00966DCF" w:rsidP="00966DCF">
      <w:pPr>
        <w:ind w:firstLine="708"/>
        <w:jc w:val="both"/>
        <w:rPr>
          <w:b/>
          <w:bCs/>
          <w:sz w:val="28"/>
          <w:szCs w:val="28"/>
        </w:rPr>
      </w:pPr>
    </w:p>
    <w:p w:rsidR="00966DCF" w:rsidRDefault="00966DCF" w:rsidP="00966DCF">
      <w:pPr>
        <w:ind w:firstLine="708"/>
        <w:jc w:val="both"/>
        <w:rPr>
          <w:b/>
          <w:bCs/>
          <w:sz w:val="28"/>
          <w:szCs w:val="28"/>
        </w:rPr>
      </w:pPr>
    </w:p>
    <w:p w:rsidR="00966DCF" w:rsidRDefault="00966DCF" w:rsidP="00966DCF">
      <w:pPr>
        <w:ind w:firstLine="708"/>
        <w:jc w:val="both"/>
        <w:rPr>
          <w:b/>
          <w:bCs/>
          <w:sz w:val="28"/>
          <w:szCs w:val="28"/>
        </w:rPr>
      </w:pPr>
    </w:p>
    <w:p w:rsidR="00966DCF" w:rsidRDefault="00966DCF" w:rsidP="00966DCF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Руководитель                                                                  М. Мусаев</w:t>
      </w:r>
    </w:p>
    <w:p w:rsidR="00966DCF" w:rsidRDefault="00966DCF" w:rsidP="00966DCF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                    </w:t>
      </w:r>
    </w:p>
    <w:p w:rsidR="00966DCF" w:rsidRDefault="00966DCF" w:rsidP="00966DCF">
      <w:pPr>
        <w:jc w:val="center"/>
        <w:rPr>
          <w:color w:val="808080" w:themeColor="background1" w:themeShade="80"/>
          <w:sz w:val="28"/>
          <w:szCs w:val="28"/>
        </w:rPr>
      </w:pPr>
    </w:p>
    <w:p w:rsidR="00966DCF" w:rsidRDefault="00966DCF" w:rsidP="00966DCF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 xml:space="preserve">   </w:t>
      </w:r>
      <w:proofErr w:type="spellStart"/>
      <w:r>
        <w:rPr>
          <w:color w:val="808080" w:themeColor="background1" w:themeShade="80"/>
          <w:sz w:val="28"/>
          <w:szCs w:val="28"/>
        </w:rPr>
        <w:t>м.п</w:t>
      </w:r>
      <w:proofErr w:type="spellEnd"/>
      <w:r>
        <w:rPr>
          <w:color w:val="808080" w:themeColor="background1" w:themeShade="80"/>
          <w:sz w:val="28"/>
          <w:szCs w:val="28"/>
        </w:rPr>
        <w:t>.</w:t>
      </w:r>
    </w:p>
    <w:p w:rsidR="000D6CF9" w:rsidRDefault="000D6CF9"/>
    <w:sectPr w:rsidR="000D6CF9" w:rsidSect="0074363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D5F"/>
    <w:multiLevelType w:val="hybridMultilevel"/>
    <w:tmpl w:val="6870F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0A"/>
    <w:rsid w:val="000D6CF9"/>
    <w:rsid w:val="002A20FF"/>
    <w:rsid w:val="00743634"/>
    <w:rsid w:val="00966DCF"/>
    <w:rsid w:val="00B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CF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6DCF"/>
    <w:rPr>
      <w:color w:val="0000CC"/>
      <w:u w:val="single"/>
    </w:rPr>
  </w:style>
  <w:style w:type="paragraph" w:styleId="a4">
    <w:name w:val="List Paragraph"/>
    <w:basedOn w:val="a"/>
    <w:uiPriority w:val="34"/>
    <w:qFormat/>
    <w:rsid w:val="00966DC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6DCF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6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DC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CF"/>
    <w:pPr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66DCF"/>
    <w:rPr>
      <w:color w:val="0000CC"/>
      <w:u w:val="single"/>
    </w:rPr>
  </w:style>
  <w:style w:type="paragraph" w:styleId="a4">
    <w:name w:val="List Paragraph"/>
    <w:basedOn w:val="a"/>
    <w:uiPriority w:val="34"/>
    <w:qFormat/>
    <w:rsid w:val="00966DC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66DCF"/>
    <w:pPr>
      <w:spacing w:before="100" w:beforeAutospacing="1" w:after="100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6D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DC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nasledi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2024-08-26T14:49:00Z</dcterms:created>
  <dcterms:modified xsi:type="dcterms:W3CDTF">2024-08-26T14:57:00Z</dcterms:modified>
</cp:coreProperties>
</file>