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DCE" w:rsidRDefault="00B15DCE" w:rsidP="00B15DCE">
      <w:pPr>
        <w:ind w:right="355"/>
        <w:jc w:val="center"/>
      </w:pPr>
      <w:r>
        <w:rPr>
          <w:noProof/>
          <w:lang w:eastAsia="ru-RU"/>
        </w:rPr>
        <w:drawing>
          <wp:inline distT="0" distB="0" distL="0" distR="0" wp14:anchorId="3C018F83" wp14:editId="22EB5D92">
            <wp:extent cx="97155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DCE" w:rsidRDefault="00B15DCE" w:rsidP="00B15DCE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B15DCE" w:rsidRDefault="00B15DCE" w:rsidP="00B15DCE">
      <w:pPr>
        <w:ind w:left="-180"/>
        <w:jc w:val="center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B15DCE" w:rsidRDefault="00B15DCE" w:rsidP="00B15DCE">
      <w:pPr>
        <w:tabs>
          <w:tab w:val="left" w:pos="3330"/>
        </w:tabs>
        <w:ind w:left="-180"/>
        <w:outlineLvl w:val="0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ab/>
        <w:t xml:space="preserve"> (Дагнаследие)</w:t>
      </w:r>
    </w:p>
    <w:p w:rsidR="00B15DCE" w:rsidRDefault="00B15DCE" w:rsidP="00B15DCE">
      <w:pPr>
        <w:ind w:left="-180"/>
      </w:pPr>
    </w:p>
    <w:p w:rsidR="00B15DCE" w:rsidRDefault="00B15DCE" w:rsidP="00B15DCE">
      <w:pPr>
        <w:ind w:left="-180"/>
        <w:rPr>
          <w:color w:val="0000FF"/>
          <w:sz w:val="4"/>
          <w:szCs w:val="4"/>
        </w:rPr>
      </w:pPr>
      <w:r w:rsidRPr="00C029A6">
        <w:t xml:space="preserve">367031, г. Махачкала, ул. Гусейнова, д.26    </w:t>
      </w:r>
      <w:r w:rsidRPr="00C029A6">
        <w:rPr>
          <w:lang w:val="en-US"/>
        </w:rPr>
        <w:t>e</w:t>
      </w:r>
      <w:r w:rsidRPr="00C029A6">
        <w:t>-</w:t>
      </w:r>
      <w:r w:rsidRPr="00C029A6">
        <w:rPr>
          <w:lang w:val="en-US"/>
        </w:rPr>
        <w:t>mail</w:t>
      </w:r>
      <w:r w:rsidRPr="00C029A6">
        <w:t>:</w:t>
      </w:r>
      <w:hyperlink r:id="rId7" w:history="1">
        <w:proofErr w:type="spellStart"/>
        <w:r w:rsidRPr="00C029A6">
          <w:rPr>
            <w:rStyle w:val="a4"/>
            <w:u w:val="none"/>
            <w:lang w:val="en-US"/>
          </w:rPr>
          <w:t>dagnasledie</w:t>
        </w:r>
        <w:proofErr w:type="spellEnd"/>
        <w:r w:rsidRPr="00C029A6">
          <w:rPr>
            <w:rStyle w:val="a4"/>
            <w:u w:val="none"/>
          </w:rPr>
          <w:t xml:space="preserve">@ </w:t>
        </w:r>
        <w:r w:rsidRPr="00C029A6">
          <w:rPr>
            <w:rStyle w:val="a4"/>
            <w:u w:val="none"/>
            <w:lang w:val="en-US"/>
          </w:rPr>
          <w:t>e</w:t>
        </w:r>
        <w:r w:rsidRPr="00C029A6">
          <w:rPr>
            <w:rStyle w:val="a4"/>
            <w:u w:val="none"/>
          </w:rPr>
          <w:t>-</w:t>
        </w:r>
        <w:r w:rsidRPr="00C029A6">
          <w:rPr>
            <w:rStyle w:val="a4"/>
            <w:u w:val="none"/>
            <w:lang w:val="en-US"/>
          </w:rPr>
          <w:t>dag</w:t>
        </w:r>
        <w:r w:rsidRPr="00C029A6">
          <w:rPr>
            <w:rStyle w:val="a4"/>
            <w:u w:val="none"/>
          </w:rPr>
          <w:t>.</w:t>
        </w:r>
        <w:proofErr w:type="spellStart"/>
        <w:r w:rsidRPr="00C029A6">
          <w:rPr>
            <w:rStyle w:val="a4"/>
            <w:u w:val="none"/>
            <w:lang w:val="en-US"/>
          </w:rPr>
          <w:t>ru</w:t>
        </w:r>
        <w:proofErr w:type="spellEnd"/>
      </w:hyperlink>
      <w:r w:rsidRPr="00C029A6">
        <w:t>, тел.(8722) 69-21-10</w:t>
      </w:r>
    </w:p>
    <w:p w:rsidR="00B15DCE" w:rsidRDefault="00B15DCE" w:rsidP="00B15DCE">
      <w:pPr>
        <w:ind w:right="-5"/>
        <w:jc w:val="center"/>
        <w:rPr>
          <w:color w:val="0000FF"/>
        </w:rPr>
      </w:pPr>
      <w:r w:rsidRPr="00C029A6"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A7180BB" wp14:editId="2F6465D8">
                <wp:simplePos x="0" y="0"/>
                <wp:positionH relativeFrom="column">
                  <wp:posOffset>-184785</wp:posOffset>
                </wp:positionH>
                <wp:positionV relativeFrom="paragraph">
                  <wp:posOffset>38100</wp:posOffset>
                </wp:positionV>
                <wp:extent cx="6276975" cy="0"/>
                <wp:effectExtent l="0" t="19050" r="952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769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4.55pt,3pt" to="479.7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</w:p>
    <w:p w:rsidR="00B15DCE" w:rsidRDefault="00B15DCE" w:rsidP="00B15DCE">
      <w:pPr>
        <w:ind w:left="567"/>
        <w:rPr>
          <w:b/>
          <w:sz w:val="28"/>
          <w:szCs w:val="28"/>
        </w:rPr>
      </w:pPr>
    </w:p>
    <w:p w:rsidR="00B15DCE" w:rsidRPr="00C029A6" w:rsidRDefault="00B15DCE" w:rsidP="00B15DCE">
      <w:pPr>
        <w:ind w:left="567"/>
        <w:rPr>
          <w:b/>
          <w:sz w:val="28"/>
          <w:szCs w:val="28"/>
        </w:rPr>
      </w:pPr>
      <w:r w:rsidRPr="00C029A6">
        <w:rPr>
          <w:b/>
          <w:sz w:val="28"/>
          <w:szCs w:val="28"/>
        </w:rPr>
        <w:t xml:space="preserve">                                               ЗАКЛЮЧЕНИЕ</w:t>
      </w:r>
      <w:bookmarkStart w:id="0" w:name="bookmark1"/>
    </w:p>
    <w:p w:rsidR="00B15DCE" w:rsidRPr="00C029A6" w:rsidRDefault="00B15DCE" w:rsidP="00B15DCE">
      <w:pPr>
        <w:ind w:left="567"/>
        <w:jc w:val="center"/>
        <w:rPr>
          <w:b/>
          <w:sz w:val="28"/>
          <w:szCs w:val="28"/>
        </w:rPr>
      </w:pPr>
    </w:p>
    <w:p w:rsidR="00B15DCE" w:rsidRPr="00C029A6" w:rsidRDefault="00B15DCE" w:rsidP="00B15DCE">
      <w:pPr>
        <w:ind w:left="567"/>
        <w:jc w:val="both"/>
        <w:rPr>
          <w:b/>
          <w:sz w:val="28"/>
          <w:szCs w:val="28"/>
        </w:rPr>
      </w:pPr>
      <w:r w:rsidRPr="00C029A6">
        <w:rPr>
          <w:b/>
          <w:sz w:val="28"/>
          <w:szCs w:val="28"/>
        </w:rPr>
        <w:t xml:space="preserve">                №</w:t>
      </w:r>
      <w:bookmarkEnd w:id="0"/>
      <w:r w:rsidRPr="00C029A6">
        <w:rPr>
          <w:b/>
          <w:sz w:val="28"/>
          <w:szCs w:val="28"/>
        </w:rPr>
        <w:t>_______ /24      от   ___ . ____________   2024 г.</w:t>
      </w:r>
    </w:p>
    <w:p w:rsidR="00B15DCE" w:rsidRPr="00C029A6" w:rsidRDefault="00B15DCE" w:rsidP="00B15D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029A6">
        <w:rPr>
          <w:b/>
          <w:sz w:val="28"/>
          <w:szCs w:val="28"/>
        </w:rPr>
        <w:t>о результатах рассмотрения заключения Акта государственной историко-культурной экспертизы в соответствии с Федеральным законом от 25.06.2002 № 73-ФЗ «Об объектах культурного наследия (памятниках истории и культуры) народов Российской Федерации.</w:t>
      </w:r>
    </w:p>
    <w:p w:rsidR="00B15DCE" w:rsidRPr="00C029A6" w:rsidRDefault="00B15DCE" w:rsidP="00B15DCE">
      <w:pPr>
        <w:autoSpaceDE w:val="0"/>
        <w:autoSpaceDN w:val="0"/>
        <w:adjustRightInd w:val="0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B15DCE" w:rsidRDefault="00B15DCE" w:rsidP="00B15DCE">
      <w:pPr>
        <w:autoSpaceDE w:val="0"/>
        <w:autoSpaceDN w:val="0"/>
        <w:adjustRightInd w:val="0"/>
        <w:ind w:firstLine="709"/>
        <w:jc w:val="both"/>
        <w:rPr>
          <w:rFonts w:eastAsiaTheme="minorHAnsi"/>
          <w:b/>
          <w:color w:val="000000"/>
          <w:sz w:val="28"/>
          <w:szCs w:val="28"/>
          <w:lang w:eastAsia="en-US"/>
        </w:rPr>
      </w:pPr>
      <w:r w:rsidRPr="00947D46">
        <w:rPr>
          <w:rFonts w:eastAsiaTheme="minorHAnsi"/>
          <w:b/>
          <w:color w:val="000000"/>
          <w:sz w:val="28"/>
          <w:szCs w:val="28"/>
          <w:lang w:eastAsia="en-US"/>
        </w:rPr>
        <w:t>Предмет рассмотрения:</w:t>
      </w:r>
    </w:p>
    <w:p w:rsidR="00B15DCE" w:rsidRPr="00C029A6" w:rsidRDefault="00B15DCE" w:rsidP="00B15DC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029A6">
        <w:rPr>
          <w:rFonts w:eastAsiaTheme="minorHAnsi"/>
          <w:bCs/>
          <w:color w:val="000000"/>
          <w:sz w:val="28"/>
          <w:szCs w:val="28"/>
          <w:lang w:eastAsia="en-US"/>
        </w:rPr>
        <w:t>Обращение ГБУ «Республиканский центр охраны памятников истории, культуры и архитектуры» от 2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4</w:t>
      </w:r>
      <w:r w:rsidRPr="00C029A6">
        <w:rPr>
          <w:rFonts w:eastAsiaTheme="minorHAnsi"/>
          <w:bCs/>
          <w:color w:val="000000"/>
          <w:sz w:val="28"/>
          <w:szCs w:val="28"/>
          <w:lang w:eastAsia="en-US"/>
        </w:rPr>
        <w:t>.07.2024 г. № 7</w:t>
      </w:r>
      <w:r>
        <w:rPr>
          <w:rFonts w:eastAsiaTheme="minorHAnsi"/>
          <w:bCs/>
          <w:color w:val="000000"/>
          <w:sz w:val="28"/>
          <w:szCs w:val="28"/>
          <w:lang w:eastAsia="en-US"/>
        </w:rPr>
        <w:t>4</w:t>
      </w:r>
      <w:r w:rsidRPr="00C029A6">
        <w:rPr>
          <w:rFonts w:eastAsiaTheme="minorHAnsi"/>
          <w:bCs/>
          <w:color w:val="000000"/>
          <w:sz w:val="28"/>
          <w:szCs w:val="28"/>
          <w:lang w:eastAsia="en-US"/>
        </w:rPr>
        <w:t xml:space="preserve"> о рассмотрении Акта</w:t>
      </w:r>
      <w:r w:rsidRPr="00C029A6">
        <w:rPr>
          <w:sz w:val="28"/>
          <w:szCs w:val="28"/>
        </w:rPr>
        <w:t xml:space="preserve"> государственной историко-культурной экспертизы </w:t>
      </w:r>
      <w:r w:rsidRPr="00E5284E">
        <w:rPr>
          <w:sz w:val="28"/>
          <w:szCs w:val="28"/>
        </w:rPr>
        <w:t xml:space="preserve">выявленного объекта культурного наследия </w:t>
      </w:r>
      <w:bookmarkStart w:id="1" w:name="_Hlk137792321"/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«</w:t>
      </w:r>
      <w:r w:rsidRPr="0058298E">
        <w:rPr>
          <w:sz w:val="28"/>
          <w:szCs w:val="28"/>
        </w:rPr>
        <w:t>Памятник Герою Советского Союза моряку-подводнику М.И. Гаджиеву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»</w:t>
      </w:r>
      <w:r w:rsidRPr="00E5284E">
        <w:rPr>
          <w:sz w:val="28"/>
          <w:szCs w:val="28"/>
        </w:rPr>
        <w:t xml:space="preserve">, расположенного по адресу: </w:t>
      </w:r>
      <w:bookmarkEnd w:id="1"/>
      <w:r w:rsidRPr="0058298E">
        <w:rPr>
          <w:sz w:val="28"/>
          <w:szCs w:val="28"/>
        </w:rPr>
        <w:t>Республика Дагестан, г. Махачкала, на территории завода им. Гаджиева</w:t>
      </w:r>
      <w:r>
        <w:rPr>
          <w:sz w:val="28"/>
          <w:szCs w:val="28"/>
        </w:rPr>
        <w:t>,</w:t>
      </w:r>
      <w:r w:rsidRPr="00E5284E">
        <w:rPr>
          <w:sz w:val="28"/>
          <w:szCs w:val="28"/>
        </w:rPr>
        <w:t xml:space="preserve"> в целях обосновани</w:t>
      </w:r>
      <w:r>
        <w:rPr>
          <w:sz w:val="28"/>
          <w:szCs w:val="28"/>
        </w:rPr>
        <w:t>я целесообразности включения в 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C029A6">
        <w:rPr>
          <w:sz w:val="28"/>
          <w:szCs w:val="28"/>
        </w:rPr>
        <w:t>.</w:t>
      </w:r>
    </w:p>
    <w:p w:rsidR="00B15DCE" w:rsidRPr="00947D46" w:rsidRDefault="00B15DCE" w:rsidP="00B15DCE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C029A6">
        <w:rPr>
          <w:sz w:val="28"/>
          <w:szCs w:val="28"/>
        </w:rPr>
        <w:t>Акт государственной историко-культурной экспертизы от 2</w:t>
      </w:r>
      <w:r>
        <w:rPr>
          <w:sz w:val="28"/>
          <w:szCs w:val="28"/>
        </w:rPr>
        <w:t>3</w:t>
      </w:r>
      <w:r w:rsidRPr="00C029A6">
        <w:rPr>
          <w:sz w:val="28"/>
          <w:szCs w:val="28"/>
        </w:rPr>
        <w:t xml:space="preserve">.07.2024 г.  </w:t>
      </w:r>
      <w:r w:rsidRPr="00E5284E">
        <w:rPr>
          <w:sz w:val="28"/>
          <w:szCs w:val="28"/>
        </w:rPr>
        <w:t xml:space="preserve">выявленного объекта культурного наследия 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«</w:t>
      </w:r>
      <w:bookmarkStart w:id="2" w:name="_GoBack"/>
      <w:bookmarkEnd w:id="2"/>
      <w:r w:rsidRPr="0058298E">
        <w:rPr>
          <w:sz w:val="28"/>
          <w:szCs w:val="28"/>
        </w:rPr>
        <w:t>Памятник Герою Советского Союза моряку-подводнику М.И. Гаджиеву</w:t>
      </w:r>
      <w:r w:rsidRPr="00B207E1">
        <w:rPr>
          <w:rFonts w:eastAsia="Songti SC"/>
          <w:kern w:val="2"/>
          <w:sz w:val="28"/>
          <w:szCs w:val="28"/>
          <w:shd w:val="clear" w:color="auto" w:fill="FFFFFF"/>
          <w:lang w:val="x-none" w:bidi="hi-IN"/>
        </w:rPr>
        <w:t>»</w:t>
      </w:r>
      <w:r w:rsidRPr="00E5284E">
        <w:rPr>
          <w:sz w:val="28"/>
          <w:szCs w:val="28"/>
        </w:rPr>
        <w:t xml:space="preserve">, </w:t>
      </w:r>
      <w:r>
        <w:rPr>
          <w:sz w:val="28"/>
          <w:szCs w:val="28"/>
        </w:rPr>
        <w:t>(далее – Объект), расположенный</w:t>
      </w:r>
      <w:r>
        <w:rPr>
          <w:sz w:val="28"/>
          <w:szCs w:val="28"/>
        </w:rPr>
        <w:tab/>
      </w:r>
      <w:r w:rsidRPr="00E5284E">
        <w:rPr>
          <w:sz w:val="28"/>
          <w:szCs w:val="28"/>
        </w:rPr>
        <w:t xml:space="preserve"> по адресу: </w:t>
      </w:r>
      <w:r w:rsidRPr="0058298E">
        <w:rPr>
          <w:sz w:val="28"/>
          <w:szCs w:val="28"/>
        </w:rPr>
        <w:t>Республика Дагестан, г. Махачкала, на территории завода им. Гаджиева</w:t>
      </w:r>
      <w:r>
        <w:rPr>
          <w:sz w:val="28"/>
          <w:szCs w:val="28"/>
        </w:rPr>
        <w:t>,</w:t>
      </w:r>
      <w:r w:rsidRPr="00E5284E">
        <w:rPr>
          <w:sz w:val="28"/>
          <w:szCs w:val="28"/>
        </w:rPr>
        <w:t xml:space="preserve"> в целях обоснования целесообразности включ</w:t>
      </w:r>
      <w:r w:rsidR="009760EC">
        <w:rPr>
          <w:sz w:val="28"/>
          <w:szCs w:val="28"/>
        </w:rPr>
        <w:t>ения в 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C029A6">
        <w:rPr>
          <w:sz w:val="28"/>
          <w:szCs w:val="28"/>
        </w:rPr>
        <w:t>,</w:t>
      </w:r>
      <w:r w:rsidRPr="00C029A6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Pr="00C029A6">
        <w:rPr>
          <w:sz w:val="28"/>
          <w:szCs w:val="28"/>
        </w:rPr>
        <w:t>представленн</w:t>
      </w:r>
      <w:r>
        <w:rPr>
          <w:sz w:val="28"/>
          <w:szCs w:val="28"/>
        </w:rPr>
        <w:t>ый</w:t>
      </w:r>
      <w:r w:rsidRPr="00C029A6">
        <w:rPr>
          <w:sz w:val="28"/>
          <w:szCs w:val="28"/>
        </w:rPr>
        <w:t xml:space="preserve"> аттестованным государственным экспертом по проведению государственной историко-культурной экспертизы </w:t>
      </w:r>
      <w:proofErr w:type="spellStart"/>
      <w:r w:rsidRPr="00C029A6">
        <w:rPr>
          <w:rFonts w:eastAsiaTheme="minorHAnsi"/>
          <w:bCs/>
          <w:sz w:val="28"/>
          <w:szCs w:val="28"/>
          <w:lang w:eastAsia="en-US"/>
        </w:rPr>
        <w:t>Шумилкиным</w:t>
      </w:r>
      <w:proofErr w:type="spellEnd"/>
      <w:r w:rsidRPr="00C029A6">
        <w:rPr>
          <w:rFonts w:eastAsiaTheme="minorHAnsi"/>
          <w:bCs/>
          <w:sz w:val="28"/>
          <w:szCs w:val="28"/>
          <w:lang w:eastAsia="en-US"/>
        </w:rPr>
        <w:t xml:space="preserve"> Александром Сергеевичем</w:t>
      </w:r>
      <w:r w:rsidRPr="00C029A6">
        <w:rPr>
          <w:sz w:val="28"/>
          <w:szCs w:val="28"/>
        </w:rPr>
        <w:t xml:space="preserve"> (</w:t>
      </w:r>
      <w:r w:rsidRPr="00C029A6">
        <w:rPr>
          <w:rFonts w:eastAsiaTheme="minorHAnsi"/>
          <w:sz w:val="28"/>
          <w:szCs w:val="28"/>
          <w:lang w:eastAsia="en-US"/>
        </w:rPr>
        <w:t>Приказ Министерства культуры Российской Федерации от 16.12.2021 г. № 2139)</w:t>
      </w:r>
      <w:r w:rsidRPr="00C029A6">
        <w:rPr>
          <w:sz w:val="28"/>
          <w:szCs w:val="28"/>
        </w:rPr>
        <w:t>.</w:t>
      </w:r>
    </w:p>
    <w:p w:rsidR="00B15DCE" w:rsidRPr="00947D46" w:rsidRDefault="00B15DCE" w:rsidP="00B15DCE">
      <w:pPr>
        <w:autoSpaceDE w:val="0"/>
        <w:autoSpaceDN w:val="0"/>
        <w:adjustRightInd w:val="0"/>
        <w:ind w:left="360" w:firstLine="349"/>
        <w:jc w:val="both"/>
        <w:rPr>
          <w:rFonts w:eastAsiaTheme="minorHAnsi"/>
          <w:bCs/>
          <w:color w:val="000000"/>
          <w:sz w:val="28"/>
          <w:szCs w:val="28"/>
          <w:lang w:eastAsia="en-US"/>
        </w:rPr>
      </w:pPr>
      <w:r w:rsidRPr="00947D46">
        <w:rPr>
          <w:b/>
          <w:bCs/>
          <w:kern w:val="2"/>
          <w:sz w:val="28"/>
          <w:szCs w:val="28"/>
        </w:rPr>
        <w:t xml:space="preserve">Требования: </w:t>
      </w:r>
    </w:p>
    <w:p w:rsidR="00B15DCE" w:rsidRPr="00C029A6" w:rsidRDefault="00B15DCE" w:rsidP="00B15DCE">
      <w:pPr>
        <w:tabs>
          <w:tab w:val="left" w:pos="709"/>
        </w:tabs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 w:rsidRPr="00C029A6">
        <w:rPr>
          <w:kern w:val="2"/>
          <w:sz w:val="28"/>
          <w:szCs w:val="28"/>
        </w:rPr>
        <w:tab/>
        <w:t xml:space="preserve">В соответствии с требованиями </w:t>
      </w:r>
      <w:r w:rsidRPr="00C029A6">
        <w:rPr>
          <w:sz w:val="28"/>
          <w:szCs w:val="28"/>
        </w:rPr>
        <w:t xml:space="preserve">Федерального закона от 25.06.2002 г. № 73-ФЗ «Об объектах культурного наследия (памятниках истории и культуры) народов Российской Федерации» и Постановлением </w:t>
      </w:r>
      <w:r w:rsidRPr="00C029A6">
        <w:rPr>
          <w:sz w:val="28"/>
          <w:szCs w:val="28"/>
        </w:rPr>
        <w:lastRenderedPageBreak/>
        <w:t>Правительства Российской Федерации от 15 июля 2009 г. № 569 «Об утверждении Положения о государственной историко-культурной экспертизе».</w:t>
      </w:r>
    </w:p>
    <w:p w:rsidR="00B15DCE" w:rsidRPr="00947D46" w:rsidRDefault="00B15DCE" w:rsidP="00B15DCE">
      <w:pPr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kern w:val="2"/>
          <w:sz w:val="28"/>
          <w:szCs w:val="28"/>
        </w:rPr>
      </w:pPr>
      <w:r w:rsidRPr="00947D46">
        <w:rPr>
          <w:b/>
          <w:bCs/>
          <w:kern w:val="2"/>
          <w:sz w:val="28"/>
          <w:szCs w:val="28"/>
        </w:rPr>
        <w:tab/>
      </w:r>
      <w:r>
        <w:rPr>
          <w:b/>
          <w:bCs/>
          <w:kern w:val="2"/>
          <w:sz w:val="28"/>
          <w:szCs w:val="28"/>
        </w:rPr>
        <w:tab/>
      </w:r>
      <w:r w:rsidRPr="00947D46">
        <w:rPr>
          <w:b/>
          <w:bCs/>
          <w:kern w:val="2"/>
          <w:sz w:val="28"/>
          <w:szCs w:val="28"/>
        </w:rPr>
        <w:t>Выводы:</w:t>
      </w:r>
    </w:p>
    <w:p w:rsidR="00B15DCE" w:rsidRPr="00EE00EB" w:rsidRDefault="009760EC" w:rsidP="00B15DCE">
      <w:pPr>
        <w:ind w:firstLine="708"/>
        <w:jc w:val="both"/>
        <w:rPr>
          <w:rFonts w:eastAsiaTheme="minorHAnsi"/>
          <w:sz w:val="28"/>
          <w:szCs w:val="28"/>
        </w:rPr>
      </w:pPr>
      <w:r w:rsidRPr="0058298E">
        <w:rPr>
          <w:sz w:val="28"/>
          <w:szCs w:val="28"/>
        </w:rPr>
        <w:t>Рассматриваемый Объект представляет собой ценность с точки зрения искусства, как объект монументального искусства – бюст, относящи</w:t>
      </w:r>
      <w:r>
        <w:rPr>
          <w:sz w:val="28"/>
          <w:szCs w:val="28"/>
        </w:rPr>
        <w:t>й</w:t>
      </w:r>
      <w:r w:rsidRPr="0058298E">
        <w:rPr>
          <w:sz w:val="28"/>
          <w:szCs w:val="28"/>
        </w:rPr>
        <w:t>ся к исторической личности М.И</w:t>
      </w:r>
      <w:r>
        <w:rPr>
          <w:sz w:val="28"/>
          <w:szCs w:val="28"/>
        </w:rPr>
        <w:t>.</w:t>
      </w:r>
      <w:r w:rsidRPr="0058298E">
        <w:rPr>
          <w:sz w:val="28"/>
          <w:szCs w:val="28"/>
        </w:rPr>
        <w:t xml:space="preserve"> Гаджиева. Объект не имеет градостроительной и архитектурной ценности ввиду специфики расположения – на территории завода</w:t>
      </w:r>
      <w:r w:rsidR="00B15DCE" w:rsidRPr="00EE00EB">
        <w:rPr>
          <w:sz w:val="28"/>
          <w:szCs w:val="28"/>
        </w:rPr>
        <w:t xml:space="preserve">. </w:t>
      </w:r>
      <w:r w:rsidR="007F3449" w:rsidRPr="0058298E">
        <w:rPr>
          <w:sz w:val="28"/>
          <w:szCs w:val="28"/>
        </w:rPr>
        <w:t xml:space="preserve">Основная ценностная роль Объекта заключается в формировании исторической памяти о личности </w:t>
      </w:r>
      <w:r w:rsidR="007F3449" w:rsidRPr="007239C4">
        <w:rPr>
          <w:sz w:val="28"/>
          <w:szCs w:val="28"/>
        </w:rPr>
        <w:t>Гаджиев</w:t>
      </w:r>
      <w:r w:rsidR="007239C4">
        <w:rPr>
          <w:sz w:val="28"/>
          <w:szCs w:val="28"/>
        </w:rPr>
        <w:t>а</w:t>
      </w:r>
      <w:r w:rsidR="007F3449" w:rsidRPr="007239C4">
        <w:rPr>
          <w:sz w:val="28"/>
          <w:szCs w:val="28"/>
        </w:rPr>
        <w:t xml:space="preserve"> Магомет</w:t>
      </w:r>
      <w:r w:rsidR="007239C4">
        <w:rPr>
          <w:sz w:val="28"/>
          <w:szCs w:val="28"/>
        </w:rPr>
        <w:t>а</w:t>
      </w:r>
      <w:r w:rsidR="007F3449" w:rsidRPr="007239C4">
        <w:rPr>
          <w:sz w:val="28"/>
          <w:szCs w:val="28"/>
        </w:rPr>
        <w:t xml:space="preserve"> </w:t>
      </w:r>
      <w:proofErr w:type="spellStart"/>
      <w:r w:rsidR="007F3449" w:rsidRPr="007239C4">
        <w:rPr>
          <w:sz w:val="28"/>
          <w:szCs w:val="28"/>
        </w:rPr>
        <w:t>Имадутдинович</w:t>
      </w:r>
      <w:r w:rsidR="007239C4">
        <w:rPr>
          <w:sz w:val="28"/>
          <w:szCs w:val="28"/>
        </w:rPr>
        <w:t>а</w:t>
      </w:r>
      <w:proofErr w:type="spellEnd"/>
      <w:r w:rsidR="007F3449" w:rsidRPr="0058298E">
        <w:rPr>
          <w:sz w:val="28"/>
          <w:szCs w:val="28"/>
        </w:rPr>
        <w:t>, Героя Советского Союза, уроженца Республики Дагестан, отдавшего свою жизнь на защиту родины в 1942 г.</w:t>
      </w:r>
    </w:p>
    <w:p w:rsidR="00B15DCE" w:rsidRDefault="00B15DCE" w:rsidP="00B15DCE">
      <w:pPr>
        <w:pStyle w:val="a3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C029A6">
        <w:rPr>
          <w:sz w:val="28"/>
          <w:szCs w:val="28"/>
        </w:rPr>
        <w:t xml:space="preserve">Эксперт </w:t>
      </w:r>
      <w:proofErr w:type="spellStart"/>
      <w:r w:rsidRPr="00C029A6">
        <w:rPr>
          <w:sz w:val="28"/>
          <w:szCs w:val="28"/>
        </w:rPr>
        <w:t>Шумилкин</w:t>
      </w:r>
      <w:proofErr w:type="spellEnd"/>
      <w:r w:rsidRPr="00C029A6">
        <w:rPr>
          <w:sz w:val="28"/>
          <w:szCs w:val="28"/>
        </w:rPr>
        <w:t xml:space="preserve"> А.С. предлагает </w:t>
      </w:r>
      <w:r w:rsidRPr="00F90EBB">
        <w:rPr>
          <w:sz w:val="28"/>
          <w:szCs w:val="28"/>
        </w:rPr>
        <w:t xml:space="preserve">присвоить Объекту </w:t>
      </w:r>
      <w:r w:rsidRPr="00557285">
        <w:rPr>
          <w:sz w:val="28"/>
          <w:szCs w:val="28"/>
        </w:rPr>
        <w:t>наименование</w:t>
      </w:r>
      <w:r w:rsidRPr="00C029A6">
        <w:rPr>
          <w:sz w:val="28"/>
          <w:szCs w:val="28"/>
        </w:rPr>
        <w:t xml:space="preserve"> </w:t>
      </w:r>
      <w:r w:rsidRPr="00947D46">
        <w:rPr>
          <w:b/>
          <w:sz w:val="28"/>
          <w:szCs w:val="28"/>
        </w:rPr>
        <w:t>«</w:t>
      </w:r>
      <w:r w:rsidRPr="0058298E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>Памятник Герою Советского Союза моряку-подводнику М.И. Гаджиеву</w:t>
      </w:r>
      <w:r w:rsidRPr="00947D46">
        <w:rPr>
          <w:rFonts w:eastAsia="Songti SC"/>
          <w:b/>
          <w:kern w:val="2"/>
          <w:sz w:val="28"/>
          <w:szCs w:val="28"/>
          <w:shd w:val="clear" w:color="auto" w:fill="FFFFFF"/>
          <w:lang w:bidi="hi-IN"/>
        </w:rPr>
        <w:t>»</w:t>
      </w:r>
      <w:r w:rsidRPr="00C029A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дата создания: </w:t>
      </w:r>
      <w:r w:rsidRPr="0058298E">
        <w:rPr>
          <w:rFonts w:eastAsia="Songti SC"/>
          <w:kern w:val="2"/>
          <w:sz w:val="28"/>
          <w:szCs w:val="28"/>
          <w:shd w:val="clear" w:color="auto" w:fill="FFFFFF"/>
          <w:lang w:bidi="hi-IN"/>
        </w:rPr>
        <w:t>1955 г.</w:t>
      </w:r>
      <w:r>
        <w:rPr>
          <w:sz w:val="28"/>
          <w:szCs w:val="28"/>
        </w:rPr>
        <w:t xml:space="preserve">, местоположение: </w:t>
      </w:r>
      <w:r w:rsidRPr="0058298E">
        <w:rPr>
          <w:sz w:val="28"/>
          <w:szCs w:val="28"/>
          <w:lang w:eastAsia="ru-RU"/>
        </w:rPr>
        <w:t>Республика Дагестан, г. Махачкала, на территории завода им. Гаджиева</w:t>
      </w:r>
      <w:r>
        <w:rPr>
          <w:sz w:val="28"/>
          <w:szCs w:val="28"/>
          <w:lang w:eastAsia="ru-RU"/>
        </w:rPr>
        <w:t>,</w:t>
      </w:r>
      <w:r w:rsidRPr="00D0300B">
        <w:rPr>
          <w:sz w:val="28"/>
          <w:szCs w:val="28"/>
        </w:rPr>
        <w:t xml:space="preserve"> </w:t>
      </w:r>
      <w:r w:rsidRPr="00F90EBB">
        <w:rPr>
          <w:sz w:val="28"/>
          <w:szCs w:val="28"/>
        </w:rPr>
        <w:t>и начать процедуру включения Объекта в качестве объекта культурного</w:t>
      </w:r>
      <w:r>
        <w:rPr>
          <w:sz w:val="28"/>
          <w:szCs w:val="28"/>
        </w:rPr>
        <w:t xml:space="preserve"> наследия 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регионального</w:t>
      </w:r>
      <w:r w:rsidRPr="00652F7E"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 значения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памятника </w:t>
      </w:r>
      <w:r w:rsidR="009760EC">
        <w:rPr>
          <w:sz w:val="28"/>
          <w:szCs w:val="28"/>
        </w:rPr>
        <w:t>искусства</w:t>
      </w:r>
      <w:r>
        <w:rPr>
          <w:sz w:val="28"/>
          <w:szCs w:val="28"/>
        </w:rPr>
        <w:t xml:space="preserve"> в единый государственный реестр объектов культурного наследия народов Российской Федерации.</w:t>
      </w:r>
    </w:p>
    <w:p w:rsidR="00B15DCE" w:rsidRPr="00C029A6" w:rsidRDefault="00B15DCE" w:rsidP="00B15DCE">
      <w:pPr>
        <w:ind w:firstLine="708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По итогам </w:t>
      </w:r>
      <w:r w:rsidRPr="00C029A6">
        <w:rPr>
          <w:sz w:val="28"/>
          <w:szCs w:val="28"/>
        </w:rPr>
        <w:t xml:space="preserve">рассмотрения представленных материалов и документации, учитывая мнение эксперта </w:t>
      </w:r>
      <w:proofErr w:type="spellStart"/>
      <w:r w:rsidRPr="00C029A6">
        <w:rPr>
          <w:sz w:val="28"/>
          <w:szCs w:val="28"/>
        </w:rPr>
        <w:t>Шумилкина</w:t>
      </w:r>
      <w:proofErr w:type="spellEnd"/>
      <w:r w:rsidRPr="00C029A6">
        <w:rPr>
          <w:sz w:val="28"/>
          <w:szCs w:val="28"/>
        </w:rPr>
        <w:t xml:space="preserve"> </w:t>
      </w:r>
      <w:r>
        <w:rPr>
          <w:sz w:val="28"/>
          <w:szCs w:val="28"/>
        </w:rPr>
        <w:t>А.С.</w:t>
      </w:r>
      <w:r w:rsidRPr="00C029A6">
        <w:rPr>
          <w:sz w:val="28"/>
          <w:szCs w:val="28"/>
        </w:rPr>
        <w:t>, изложенного в Акте государственной историко-культурной экспертизы от 2</w:t>
      </w:r>
      <w:r>
        <w:rPr>
          <w:sz w:val="28"/>
          <w:szCs w:val="28"/>
        </w:rPr>
        <w:t>3</w:t>
      </w:r>
      <w:r w:rsidRPr="00C029A6">
        <w:rPr>
          <w:sz w:val="28"/>
          <w:szCs w:val="28"/>
        </w:rPr>
        <w:t xml:space="preserve"> июля 2024 г., Агентство по охране культурного наследия Республики Дагестан согласовывает данное решение (</w:t>
      </w:r>
      <w:r w:rsidRPr="00D0300B">
        <w:rPr>
          <w:b/>
          <w:sz w:val="28"/>
          <w:szCs w:val="28"/>
        </w:rPr>
        <w:t>положительное заключение</w:t>
      </w:r>
      <w:r w:rsidRPr="00C029A6">
        <w:rPr>
          <w:sz w:val="28"/>
          <w:szCs w:val="28"/>
        </w:rPr>
        <w:t xml:space="preserve">) и </w:t>
      </w:r>
      <w:r>
        <w:rPr>
          <w:sz w:val="28"/>
          <w:szCs w:val="28"/>
        </w:rPr>
        <w:t>считает необходимым начать процедуру включения Объекта в качестве объекта культурного наследия регионального</w:t>
      </w:r>
      <w:r w:rsidRPr="0073338E">
        <w:rPr>
          <w:rFonts w:ascii="Times New Roman CYR" w:eastAsiaTheme="minorHAnsi" w:hAnsi="Times New Roman CYR" w:cs="Times New Roman CYR"/>
          <w:bCs/>
          <w:color w:val="000000"/>
          <w:sz w:val="28"/>
          <w:szCs w:val="28"/>
          <w:lang w:eastAsia="en-US"/>
        </w:rPr>
        <w:t xml:space="preserve"> значения</w:t>
      </w:r>
      <w:r>
        <w:rPr>
          <w:sz w:val="28"/>
          <w:szCs w:val="28"/>
        </w:rPr>
        <w:t xml:space="preserve"> в Единый государственный реестр объектов культурного наследия народов Российской Федерации</w:t>
      </w:r>
      <w:r w:rsidRPr="00C029A6">
        <w:rPr>
          <w:sz w:val="28"/>
          <w:szCs w:val="28"/>
        </w:rPr>
        <w:t>.</w:t>
      </w:r>
    </w:p>
    <w:p w:rsidR="00B15DCE" w:rsidRPr="00C029A6" w:rsidRDefault="00B15DCE" w:rsidP="00B15DCE">
      <w:pPr>
        <w:ind w:firstLine="708"/>
        <w:jc w:val="both"/>
        <w:rPr>
          <w:b/>
          <w:bCs/>
          <w:sz w:val="28"/>
          <w:szCs w:val="28"/>
        </w:rPr>
      </w:pPr>
    </w:p>
    <w:p w:rsidR="00B15DCE" w:rsidRPr="00C029A6" w:rsidRDefault="00B15DCE" w:rsidP="00B15DCE">
      <w:pPr>
        <w:ind w:firstLine="708"/>
        <w:jc w:val="both"/>
        <w:rPr>
          <w:b/>
          <w:bCs/>
          <w:sz w:val="28"/>
          <w:szCs w:val="28"/>
        </w:rPr>
      </w:pPr>
    </w:p>
    <w:p w:rsidR="00B15DCE" w:rsidRPr="00C029A6" w:rsidRDefault="00B15DCE" w:rsidP="00B15DCE">
      <w:pPr>
        <w:ind w:firstLine="708"/>
        <w:jc w:val="both"/>
        <w:rPr>
          <w:b/>
          <w:bCs/>
          <w:sz w:val="28"/>
          <w:szCs w:val="28"/>
        </w:rPr>
      </w:pPr>
    </w:p>
    <w:p w:rsidR="00B15DCE" w:rsidRPr="00C029A6" w:rsidRDefault="00B15DCE" w:rsidP="00B15DCE">
      <w:pPr>
        <w:ind w:firstLine="708"/>
        <w:rPr>
          <w:sz w:val="28"/>
          <w:szCs w:val="28"/>
        </w:rPr>
      </w:pPr>
      <w:r w:rsidRPr="00C029A6">
        <w:rPr>
          <w:b/>
          <w:bCs/>
          <w:sz w:val="28"/>
          <w:szCs w:val="28"/>
        </w:rPr>
        <w:t>Руководитель                                                                  М. Мусаев</w:t>
      </w:r>
    </w:p>
    <w:p w:rsidR="00B15DCE" w:rsidRPr="00C029A6" w:rsidRDefault="00B15DCE" w:rsidP="00B15DCE">
      <w:pPr>
        <w:jc w:val="center"/>
        <w:rPr>
          <w:color w:val="808080" w:themeColor="background1" w:themeShade="80"/>
          <w:sz w:val="28"/>
          <w:szCs w:val="28"/>
        </w:rPr>
      </w:pPr>
      <w:r w:rsidRPr="00C029A6">
        <w:rPr>
          <w:color w:val="808080" w:themeColor="background1" w:themeShade="80"/>
          <w:sz w:val="28"/>
          <w:szCs w:val="28"/>
        </w:rPr>
        <w:t xml:space="preserve">                       </w:t>
      </w:r>
    </w:p>
    <w:p w:rsidR="00B15DCE" w:rsidRPr="00C029A6" w:rsidRDefault="00B15DCE" w:rsidP="00B15DCE">
      <w:pPr>
        <w:jc w:val="center"/>
        <w:rPr>
          <w:color w:val="808080" w:themeColor="background1" w:themeShade="80"/>
          <w:sz w:val="28"/>
          <w:szCs w:val="28"/>
        </w:rPr>
      </w:pPr>
    </w:p>
    <w:p w:rsidR="00B15DCE" w:rsidRDefault="00B15DCE" w:rsidP="00B15DCE">
      <w:pPr>
        <w:jc w:val="center"/>
        <w:rPr>
          <w:color w:val="808080" w:themeColor="background1" w:themeShade="80"/>
          <w:sz w:val="28"/>
          <w:szCs w:val="28"/>
        </w:rPr>
      </w:pPr>
      <w:r>
        <w:rPr>
          <w:color w:val="808080" w:themeColor="background1" w:themeShade="80"/>
          <w:sz w:val="28"/>
          <w:szCs w:val="28"/>
        </w:rPr>
        <w:t xml:space="preserve">   </w:t>
      </w:r>
      <w:proofErr w:type="spellStart"/>
      <w:r>
        <w:rPr>
          <w:color w:val="808080" w:themeColor="background1" w:themeShade="80"/>
          <w:sz w:val="28"/>
          <w:szCs w:val="28"/>
        </w:rPr>
        <w:t>м.п</w:t>
      </w:r>
      <w:proofErr w:type="spellEnd"/>
      <w:r>
        <w:rPr>
          <w:color w:val="808080" w:themeColor="background1" w:themeShade="80"/>
          <w:sz w:val="28"/>
          <w:szCs w:val="28"/>
        </w:rPr>
        <w:t>.</w:t>
      </w:r>
    </w:p>
    <w:p w:rsidR="00B15DCE" w:rsidRDefault="00B15DCE" w:rsidP="00B15DCE"/>
    <w:p w:rsidR="00B15DCE" w:rsidRPr="00EE00EB" w:rsidRDefault="00B15DCE" w:rsidP="00B15DCE"/>
    <w:p w:rsidR="000D6CF9" w:rsidRDefault="000D6CF9"/>
    <w:sectPr w:rsidR="000D6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ongti SC">
    <w:altName w:val="Times New Roman"/>
    <w:charset w:val="01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2D5F"/>
    <w:multiLevelType w:val="hybridMultilevel"/>
    <w:tmpl w:val="6870FB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142"/>
    <w:rsid w:val="000D6CF9"/>
    <w:rsid w:val="00511142"/>
    <w:rsid w:val="007239C4"/>
    <w:rsid w:val="00743634"/>
    <w:rsid w:val="007F3449"/>
    <w:rsid w:val="009760EC"/>
    <w:rsid w:val="00B15DCE"/>
    <w:rsid w:val="00F3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CE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DCE"/>
    <w:pPr>
      <w:ind w:left="720"/>
      <w:contextualSpacing/>
    </w:pPr>
  </w:style>
  <w:style w:type="character" w:styleId="a4">
    <w:name w:val="Hyperlink"/>
    <w:basedOn w:val="a0"/>
    <w:semiHidden/>
    <w:unhideWhenUsed/>
    <w:rsid w:val="00B15DCE"/>
    <w:rPr>
      <w:color w:val="0000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5D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DCE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DCE"/>
    <w:pPr>
      <w:spacing w:after="0" w:line="240" w:lineRule="auto"/>
    </w:pPr>
    <w:rPr>
      <w:rFonts w:eastAsia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DCE"/>
    <w:pPr>
      <w:ind w:left="720"/>
      <w:contextualSpacing/>
    </w:pPr>
  </w:style>
  <w:style w:type="character" w:styleId="a4">
    <w:name w:val="Hyperlink"/>
    <w:basedOn w:val="a0"/>
    <w:semiHidden/>
    <w:unhideWhenUsed/>
    <w:rsid w:val="00B15DCE"/>
    <w:rPr>
      <w:color w:val="0000CC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5D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DCE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agnasledie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570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2024-08-26T14:59:00Z</dcterms:created>
  <dcterms:modified xsi:type="dcterms:W3CDTF">2024-08-27T11:47:00Z</dcterms:modified>
</cp:coreProperties>
</file>